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2F2E" w14:textId="77777777" w:rsidR="00337D6E" w:rsidRPr="00337D6E" w:rsidRDefault="00337D6E" w:rsidP="00337D6E">
      <w:pPr>
        <w:ind w:left="1918" w:right="1914"/>
        <w:jc w:val="center"/>
        <w:rPr>
          <w:rFonts w:asciiTheme="minorHAnsi" w:eastAsiaTheme="minorEastAsia" w:hAnsiTheme="minorHAnsi" w:cstheme="minorHAnsi"/>
          <w:b/>
          <w:sz w:val="24"/>
          <w:szCs w:val="24"/>
          <w:lang w:eastAsia="zh-CN" w:bidi="ar"/>
        </w:rPr>
      </w:pPr>
      <w:r w:rsidRPr="00337D6E">
        <w:rPr>
          <w:rFonts w:asciiTheme="minorHAnsi" w:hAnsiTheme="minorHAnsi" w:cstheme="minorHAnsi"/>
          <w:b/>
          <w:bCs/>
          <w:spacing w:val="-2"/>
          <w:sz w:val="24"/>
          <w:szCs w:val="24"/>
          <w:u w:val="single" w:color="000000"/>
        </w:rPr>
        <w:t>NOTICE OF</w:t>
      </w:r>
      <w:r w:rsidRPr="00337D6E">
        <w:rPr>
          <w:rFonts w:asciiTheme="minorHAnsi" w:eastAsiaTheme="minorEastAsia" w:hAnsiTheme="minorHAnsi" w:cstheme="minorHAnsi"/>
          <w:b/>
          <w:bCs/>
          <w:spacing w:val="-2"/>
          <w:sz w:val="24"/>
          <w:szCs w:val="24"/>
          <w:u w:val="single" w:color="000000"/>
          <w:lang w:eastAsia="zh-CN"/>
        </w:rPr>
        <w:t xml:space="preserve"> </w:t>
      </w:r>
      <w:r w:rsidRPr="00337D6E">
        <w:rPr>
          <w:rFonts w:asciiTheme="minorHAnsi" w:hAnsiTheme="minorHAnsi" w:cstheme="minorHAnsi"/>
          <w:b/>
          <w:bCs/>
          <w:spacing w:val="-2"/>
          <w:sz w:val="24"/>
          <w:szCs w:val="24"/>
          <w:u w:val="single" w:color="000000"/>
        </w:rPr>
        <w:t>ANNUAL GENERAL MEETING OF SHAREHOLDERS FOR FISCAL YEAR 2025</w:t>
      </w:r>
      <w:r w:rsidRPr="00337D6E">
        <w:rPr>
          <w:rFonts w:asciiTheme="minorHAnsi" w:eastAsiaTheme="minorEastAsia" w:hAnsiTheme="minorHAnsi" w:cstheme="minorHAnsi"/>
          <w:b/>
          <w:bCs/>
          <w:spacing w:val="-2"/>
          <w:sz w:val="24"/>
          <w:szCs w:val="24"/>
          <w:u w:val="single" w:color="000000"/>
          <w:lang w:eastAsia="zh-CN"/>
        </w:rPr>
        <w:t xml:space="preserve"> </w:t>
      </w:r>
      <w:r w:rsidRPr="00337D6E">
        <w:rPr>
          <w:rFonts w:asciiTheme="minorHAnsi" w:hAnsiTheme="minorHAnsi" w:cstheme="minorHAnsi"/>
          <w:b/>
          <w:bCs/>
          <w:spacing w:val="-2"/>
          <w:sz w:val="24"/>
          <w:szCs w:val="24"/>
          <w:u w:val="single" w:color="000000"/>
        </w:rPr>
        <w:t>&amp; EXTRAORDINARY GENERAL MEETING OF SHAREHOLDERS FOR YEAR 2026</w:t>
      </w:r>
      <w:r w:rsidR="00000000" w:rsidRPr="00337D6E">
        <w:rPr>
          <w:rFonts w:asciiTheme="minorHAnsi" w:hAnsiTheme="minorHAnsi" w:cstheme="minorHAnsi"/>
          <w:b/>
          <w:sz w:val="24"/>
          <w:szCs w:val="24"/>
          <w:lang w:eastAsia="zh-CN" w:bidi="ar"/>
        </w:rPr>
        <w:t xml:space="preserve"> </w:t>
      </w:r>
    </w:p>
    <w:p w14:paraId="033B06A9" w14:textId="0A5A9949" w:rsidR="008F5165" w:rsidRPr="00337D6E" w:rsidRDefault="00000000" w:rsidP="00337D6E">
      <w:pPr>
        <w:ind w:left="1918" w:right="1914"/>
        <w:jc w:val="center"/>
        <w:rPr>
          <w:rFonts w:asciiTheme="minorHAnsi" w:hAnsiTheme="minorHAnsi" w:cstheme="minorHAnsi"/>
          <w:b/>
          <w:bCs/>
          <w:spacing w:val="-2"/>
          <w:sz w:val="24"/>
          <w:szCs w:val="24"/>
          <w:u w:val="single" w:color="000000"/>
        </w:rPr>
      </w:pPr>
      <w:r w:rsidRPr="00337D6E">
        <w:rPr>
          <w:rFonts w:asciiTheme="minorHAnsi" w:eastAsia="SimSun" w:hAnsiTheme="minorHAnsi" w:cstheme="minorHAnsi"/>
          <w:spacing w:val="-2"/>
          <w:sz w:val="24"/>
          <w:szCs w:val="24"/>
          <w:lang w:eastAsia="zh-CN" w:bidi="ar"/>
        </w:rPr>
        <w:t>371</w:t>
      </w:r>
      <w:r w:rsidRPr="00337D6E">
        <w:rPr>
          <w:rFonts w:asciiTheme="minorHAnsi" w:eastAsia="Cambria" w:hAnsiTheme="minorHAnsi" w:cstheme="minorHAnsi"/>
          <w:spacing w:val="-2"/>
          <w:sz w:val="24"/>
          <w:szCs w:val="24"/>
          <w:lang w:eastAsia="zh-CN" w:bidi="ar"/>
        </w:rPr>
        <w:t>/CORSEC/BINO/VI/202</w:t>
      </w:r>
      <w:r w:rsidRPr="00337D6E">
        <w:rPr>
          <w:rFonts w:asciiTheme="minorHAnsi" w:eastAsia="SimSun" w:hAnsiTheme="minorHAnsi" w:cstheme="minorHAnsi"/>
          <w:spacing w:val="-2"/>
          <w:sz w:val="24"/>
          <w:szCs w:val="24"/>
          <w:lang w:eastAsia="zh-CN" w:bidi="ar"/>
        </w:rPr>
        <w:t>6</w:t>
      </w:r>
    </w:p>
    <w:p w14:paraId="0B33FA35" w14:textId="77777777" w:rsidR="008F5165" w:rsidRPr="00337D6E" w:rsidRDefault="008F5165">
      <w:pPr>
        <w:pStyle w:val="a5"/>
        <w:spacing w:before="11"/>
        <w:rPr>
          <w:rFonts w:asciiTheme="minorHAnsi" w:eastAsia="Cambria" w:hAnsiTheme="minorHAnsi" w:cstheme="minorHAnsi"/>
        </w:rPr>
      </w:pPr>
    </w:p>
    <w:p w14:paraId="7AA3E184" w14:textId="4087118A" w:rsidR="008F5165" w:rsidRPr="00337D6E" w:rsidRDefault="00337D6E">
      <w:pPr>
        <w:pStyle w:val="a5"/>
        <w:spacing w:before="3"/>
        <w:ind w:left="12" w:right="5"/>
        <w:jc w:val="both"/>
        <w:rPr>
          <w:rFonts w:asciiTheme="minorHAnsi" w:eastAsiaTheme="minorEastAsia" w:hAnsiTheme="minorHAnsi" w:cstheme="minorHAnsi"/>
        </w:rPr>
      </w:pPr>
      <w:r w:rsidRPr="00337D6E">
        <w:rPr>
          <w:rFonts w:asciiTheme="minorHAnsi" w:hAnsiTheme="minorHAnsi" w:cstheme="minorHAnsi"/>
          <w:lang w:eastAsia="zh-CN" w:bidi="ar"/>
        </w:rPr>
        <w:t>The Board of Directors of PT Perma Plasindo Tbk (hereinafter referred to as the “</w:t>
      </w:r>
      <w:r w:rsidRPr="00337D6E">
        <w:rPr>
          <w:rFonts w:asciiTheme="minorHAnsi" w:hAnsiTheme="minorHAnsi" w:cstheme="minorHAnsi"/>
          <w:b/>
          <w:bCs/>
          <w:lang w:eastAsia="zh-CN" w:bidi="ar"/>
        </w:rPr>
        <w:t>Company</w:t>
      </w:r>
      <w:r w:rsidRPr="00337D6E">
        <w:rPr>
          <w:rFonts w:asciiTheme="minorHAnsi" w:hAnsiTheme="minorHAnsi" w:cstheme="minorHAnsi"/>
          <w:lang w:eastAsia="zh-CN" w:bidi="ar"/>
        </w:rPr>
        <w:t>”) hereby invites the shareholders of the Company to electronically attend the Annual General Meeting of Shareholders (“</w:t>
      </w:r>
      <w:r w:rsidRPr="00337D6E">
        <w:rPr>
          <w:rFonts w:asciiTheme="minorHAnsi" w:hAnsiTheme="minorHAnsi" w:cstheme="minorHAnsi"/>
          <w:b/>
          <w:bCs/>
          <w:lang w:eastAsia="zh-CN" w:bidi="ar"/>
        </w:rPr>
        <w:t>AGMS</w:t>
      </w:r>
      <w:r w:rsidRPr="00337D6E">
        <w:rPr>
          <w:rFonts w:asciiTheme="minorHAnsi" w:hAnsiTheme="minorHAnsi" w:cstheme="minorHAnsi"/>
          <w:lang w:eastAsia="zh-CN" w:bidi="ar"/>
        </w:rPr>
        <w:t>”) of the Company for Fiscal Year 2025 and the Extraordinary General Meeting of Shareholders (“</w:t>
      </w:r>
      <w:r w:rsidRPr="00337D6E">
        <w:rPr>
          <w:rFonts w:asciiTheme="minorHAnsi" w:hAnsiTheme="minorHAnsi" w:cstheme="minorHAnsi"/>
          <w:b/>
          <w:bCs/>
          <w:lang w:eastAsia="zh-CN" w:bidi="ar"/>
        </w:rPr>
        <w:t>EGMS</w:t>
      </w:r>
      <w:r w:rsidRPr="00337D6E">
        <w:rPr>
          <w:rFonts w:asciiTheme="minorHAnsi" w:hAnsiTheme="minorHAnsi" w:cstheme="minorHAnsi"/>
          <w:lang w:eastAsia="zh-CN" w:bidi="ar"/>
        </w:rPr>
        <w:t>”) for Year 2026, which will be convened pursuant to the provisions of Financial Services Authority Regulation Number 15/POJK.04/2020 concerning the Planning and Implementation of General Meetings of Shareholders of Public Companies (“</w:t>
      </w:r>
      <w:r w:rsidRPr="00337D6E">
        <w:rPr>
          <w:rFonts w:asciiTheme="minorHAnsi" w:hAnsiTheme="minorHAnsi" w:cstheme="minorHAnsi"/>
          <w:b/>
          <w:bCs/>
          <w:lang w:eastAsia="zh-CN" w:bidi="ar"/>
        </w:rPr>
        <w:t>POJK No. 15/2020</w:t>
      </w:r>
      <w:r w:rsidRPr="00337D6E">
        <w:rPr>
          <w:rFonts w:asciiTheme="minorHAnsi" w:hAnsiTheme="minorHAnsi" w:cstheme="minorHAnsi"/>
          <w:lang w:eastAsia="zh-CN" w:bidi="ar"/>
        </w:rPr>
        <w:t>”) and Financial Services Authority Regulation Number 16/POJK.04/2020 concerning the Electronic Implementation of General Meetings of Shareholders of Public Companies (“POJK No. 16/2020”), on</w:t>
      </w:r>
      <w:r w:rsidRPr="00337D6E">
        <w:rPr>
          <w:rFonts w:asciiTheme="minorHAnsi" w:eastAsiaTheme="minorEastAsia" w:hAnsiTheme="minorHAnsi" w:cstheme="minorHAnsi"/>
          <w:lang w:eastAsia="zh-CN" w:bidi="ar"/>
        </w:rPr>
        <w:t xml:space="preserve"> </w:t>
      </w:r>
      <w:r w:rsidRPr="00337D6E">
        <w:rPr>
          <w:rFonts w:asciiTheme="minorHAnsi" w:hAnsiTheme="minorHAnsi" w:cstheme="minorHAnsi"/>
          <w:lang w:eastAsia="zh-CN" w:bidi="ar"/>
        </w:rPr>
        <w:t>:</w:t>
      </w:r>
      <w:r w:rsidR="00000000" w:rsidRPr="00337D6E">
        <w:rPr>
          <w:rFonts w:asciiTheme="minorHAnsi" w:hAnsiTheme="minorHAnsi" w:cstheme="minorHAnsi"/>
          <w:lang w:eastAsia="zh-CN" w:bidi="ar"/>
        </w:rPr>
        <w:t xml:space="preserve"> </w:t>
      </w:r>
    </w:p>
    <w:p w14:paraId="2928A49C" w14:textId="6E18A260" w:rsidR="008F5165" w:rsidRPr="00337D6E" w:rsidRDefault="00337D6E">
      <w:pPr>
        <w:pStyle w:val="a5"/>
        <w:tabs>
          <w:tab w:val="left" w:pos="3612"/>
        </w:tabs>
        <w:spacing w:before="292"/>
        <w:ind w:left="12"/>
        <w:rPr>
          <w:rFonts w:asciiTheme="minorHAnsi" w:eastAsia="SimSun" w:hAnsiTheme="minorHAnsi" w:cstheme="minorHAnsi"/>
          <w:lang w:eastAsia="zh-CN"/>
        </w:rPr>
      </w:pPr>
      <w:r w:rsidRPr="00337D6E">
        <w:rPr>
          <w:rFonts w:asciiTheme="minorHAnsi" w:hAnsiTheme="minorHAnsi" w:cstheme="minorHAnsi"/>
          <w:lang w:eastAsia="zh-CN" w:bidi="ar"/>
        </w:rPr>
        <w:t>Day / Date</w:t>
      </w:r>
      <w:r w:rsidR="00000000" w:rsidRPr="00337D6E">
        <w:rPr>
          <w:rFonts w:asciiTheme="minorHAnsi" w:hAnsiTheme="minorHAnsi" w:cstheme="minorHAnsi"/>
          <w:lang w:eastAsia="zh-CN" w:bidi="ar"/>
        </w:rPr>
        <w:tab/>
        <w:t>:</w:t>
      </w:r>
      <w:r w:rsidR="00000000" w:rsidRPr="00337D6E">
        <w:rPr>
          <w:rFonts w:asciiTheme="minorHAnsi" w:hAnsiTheme="minorHAnsi" w:cstheme="minorHAnsi"/>
          <w:spacing w:val="-1"/>
          <w:lang w:eastAsia="zh-CN" w:bidi="ar"/>
        </w:rPr>
        <w:t xml:space="preserve"> </w:t>
      </w:r>
      <w:r w:rsidRPr="00337D6E">
        <w:rPr>
          <w:rFonts w:asciiTheme="minorHAnsi" w:eastAsia="SimSun" w:hAnsiTheme="minorHAnsi" w:cstheme="minorHAnsi"/>
          <w:lang w:eastAsia="zh-CN" w:bidi="ar"/>
        </w:rPr>
        <w:t>Tuesday, 30 June 2026</w:t>
      </w:r>
    </w:p>
    <w:p w14:paraId="48F4F6F6" w14:textId="0F4B955B" w:rsidR="008F5165" w:rsidRPr="00337D6E" w:rsidRDefault="00337D6E">
      <w:pPr>
        <w:pStyle w:val="a5"/>
        <w:tabs>
          <w:tab w:val="left" w:pos="3612"/>
        </w:tabs>
        <w:ind w:left="12"/>
        <w:rPr>
          <w:rFonts w:asciiTheme="minorHAnsi" w:hAnsiTheme="minorHAnsi" w:cstheme="minorHAnsi"/>
        </w:rPr>
      </w:pPr>
      <w:r w:rsidRPr="00337D6E">
        <w:rPr>
          <w:rFonts w:asciiTheme="minorHAnsi" w:hAnsiTheme="minorHAnsi" w:cstheme="minorHAnsi"/>
          <w:spacing w:val="-4"/>
          <w:lang w:eastAsia="zh-CN" w:bidi="ar"/>
        </w:rPr>
        <w:t>Time</w:t>
      </w:r>
      <w:r w:rsidR="00000000" w:rsidRPr="00337D6E">
        <w:rPr>
          <w:rFonts w:asciiTheme="minorHAnsi" w:hAnsiTheme="minorHAnsi" w:cstheme="minorHAnsi"/>
          <w:lang w:eastAsia="zh-CN" w:bidi="ar"/>
        </w:rPr>
        <w:tab/>
        <w:t xml:space="preserve">: </w:t>
      </w:r>
      <w:r w:rsidRPr="00337D6E">
        <w:rPr>
          <w:rFonts w:asciiTheme="minorHAnsi" w:eastAsia="SimSun" w:hAnsiTheme="minorHAnsi" w:cstheme="minorHAnsi"/>
          <w:lang w:eastAsia="zh-CN" w:bidi="ar"/>
        </w:rPr>
        <w:t xml:space="preserve">02:00 PM WIB – </w:t>
      </w:r>
      <w:r w:rsidRPr="00337D6E">
        <w:rPr>
          <w:rFonts w:asciiTheme="minorHAnsi" w:eastAsia="SimSun" w:hAnsiTheme="minorHAnsi" w:cstheme="minorHAnsi"/>
          <w:lang w:eastAsia="zh-CN" w:bidi="ar"/>
        </w:rPr>
        <w:t>end</w:t>
      </w:r>
    </w:p>
    <w:p w14:paraId="1F3C7AF9" w14:textId="75C3B4AB" w:rsidR="008F5165" w:rsidRPr="00337D6E" w:rsidRDefault="00337D6E">
      <w:pPr>
        <w:pStyle w:val="a5"/>
        <w:tabs>
          <w:tab w:val="left" w:pos="3612"/>
        </w:tabs>
        <w:ind w:left="12"/>
        <w:rPr>
          <w:rFonts w:asciiTheme="minorHAnsi" w:hAnsiTheme="minorHAnsi" w:cstheme="minorHAnsi"/>
        </w:rPr>
      </w:pPr>
      <w:r w:rsidRPr="00337D6E">
        <w:rPr>
          <w:rFonts w:asciiTheme="minorHAnsi" w:hAnsiTheme="minorHAnsi" w:cstheme="minorHAnsi"/>
          <w:spacing w:val="-2"/>
          <w:lang w:eastAsia="zh-CN" w:bidi="ar"/>
        </w:rPr>
        <w:t>Venue</w:t>
      </w:r>
      <w:r w:rsidR="00000000" w:rsidRPr="00337D6E">
        <w:rPr>
          <w:rFonts w:asciiTheme="minorHAnsi" w:hAnsiTheme="minorHAnsi" w:cstheme="minorHAnsi"/>
          <w:lang w:eastAsia="zh-CN" w:bidi="ar"/>
        </w:rPr>
        <w:tab/>
        <w:t>:</w:t>
      </w:r>
      <w:r w:rsidR="00000000" w:rsidRPr="00337D6E">
        <w:rPr>
          <w:rFonts w:asciiTheme="minorHAnsi" w:hAnsiTheme="minorHAnsi" w:cstheme="minorHAnsi"/>
          <w:spacing w:val="-2"/>
          <w:lang w:eastAsia="zh-CN" w:bidi="ar"/>
        </w:rPr>
        <w:t xml:space="preserve"> </w:t>
      </w:r>
      <w:r w:rsidR="00000000" w:rsidRPr="00337D6E">
        <w:rPr>
          <w:rFonts w:asciiTheme="minorHAnsi" w:hAnsiTheme="minorHAnsi" w:cstheme="minorHAnsi"/>
          <w:lang w:eastAsia="zh-CN" w:bidi="ar"/>
        </w:rPr>
        <w:t>Santika</w:t>
      </w:r>
      <w:r w:rsidR="00000000" w:rsidRPr="00337D6E">
        <w:rPr>
          <w:rFonts w:asciiTheme="minorHAnsi" w:hAnsiTheme="minorHAnsi" w:cstheme="minorHAnsi"/>
          <w:spacing w:val="-1"/>
          <w:lang w:eastAsia="zh-CN" w:bidi="ar"/>
        </w:rPr>
        <w:t xml:space="preserve"> </w:t>
      </w:r>
      <w:r w:rsidR="00000000" w:rsidRPr="00337D6E">
        <w:rPr>
          <w:rFonts w:asciiTheme="minorHAnsi" w:hAnsiTheme="minorHAnsi" w:cstheme="minorHAnsi"/>
          <w:lang w:eastAsia="zh-CN" w:bidi="ar"/>
        </w:rPr>
        <w:t>Hotel,</w:t>
      </w:r>
      <w:r w:rsidR="00000000" w:rsidRPr="00337D6E">
        <w:rPr>
          <w:rFonts w:asciiTheme="minorHAnsi" w:hAnsiTheme="minorHAnsi" w:cstheme="minorHAnsi"/>
          <w:spacing w:val="-1"/>
          <w:lang w:eastAsia="zh-CN" w:bidi="ar"/>
        </w:rPr>
        <w:t xml:space="preserve"> </w:t>
      </w:r>
      <w:r w:rsidR="00000000" w:rsidRPr="00337D6E">
        <w:rPr>
          <w:rFonts w:asciiTheme="minorHAnsi" w:hAnsiTheme="minorHAnsi" w:cstheme="minorHAnsi"/>
          <w:lang w:eastAsia="zh-CN" w:bidi="ar"/>
        </w:rPr>
        <w:t xml:space="preserve">Kelapa </w:t>
      </w:r>
      <w:r w:rsidR="00000000" w:rsidRPr="00337D6E">
        <w:rPr>
          <w:rFonts w:asciiTheme="minorHAnsi" w:hAnsiTheme="minorHAnsi" w:cstheme="minorHAnsi"/>
          <w:spacing w:val="-2"/>
          <w:lang w:eastAsia="zh-CN" w:bidi="ar"/>
        </w:rPr>
        <w:t>Gading</w:t>
      </w:r>
    </w:p>
    <w:p w14:paraId="4654820E" w14:textId="77777777" w:rsidR="008F5165" w:rsidRPr="00337D6E" w:rsidRDefault="00000000">
      <w:pPr>
        <w:pStyle w:val="a5"/>
        <w:ind w:left="3723" w:right="50"/>
        <w:rPr>
          <w:rFonts w:asciiTheme="minorHAnsi" w:hAnsiTheme="minorHAnsi" w:cstheme="minorHAnsi"/>
        </w:rPr>
      </w:pPr>
      <w:r w:rsidRPr="00337D6E">
        <w:rPr>
          <w:rFonts w:asciiTheme="minorHAnsi" w:hAnsiTheme="minorHAnsi" w:cstheme="minorHAnsi"/>
          <w:lang w:eastAsia="zh-CN" w:bidi="ar"/>
        </w:rPr>
        <w:t>Mahaka</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Square,</w:t>
      </w:r>
      <w:r w:rsidRPr="00337D6E">
        <w:rPr>
          <w:rFonts w:asciiTheme="minorHAnsi" w:hAnsiTheme="minorHAnsi" w:cstheme="minorHAnsi"/>
          <w:spacing w:val="-6"/>
          <w:lang w:eastAsia="zh-CN" w:bidi="ar"/>
        </w:rPr>
        <w:t xml:space="preserve"> </w:t>
      </w:r>
      <w:r w:rsidRPr="00337D6E">
        <w:rPr>
          <w:rFonts w:asciiTheme="minorHAnsi" w:hAnsiTheme="minorHAnsi" w:cstheme="minorHAnsi"/>
          <w:lang w:eastAsia="zh-CN" w:bidi="ar"/>
        </w:rPr>
        <w:t>Jl.</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Raya</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Kelapa</w:t>
      </w:r>
      <w:r w:rsidRPr="00337D6E">
        <w:rPr>
          <w:rFonts w:asciiTheme="minorHAnsi" w:hAnsiTheme="minorHAnsi" w:cstheme="minorHAnsi"/>
          <w:spacing w:val="-6"/>
          <w:lang w:eastAsia="zh-CN" w:bidi="ar"/>
        </w:rPr>
        <w:t xml:space="preserve"> </w:t>
      </w:r>
      <w:r w:rsidRPr="00337D6E">
        <w:rPr>
          <w:rFonts w:asciiTheme="minorHAnsi" w:hAnsiTheme="minorHAnsi" w:cstheme="minorHAnsi"/>
          <w:lang w:eastAsia="zh-CN" w:bidi="ar"/>
        </w:rPr>
        <w:t>Nias</w:t>
      </w:r>
      <w:r w:rsidRPr="00337D6E">
        <w:rPr>
          <w:rFonts w:asciiTheme="minorHAnsi" w:hAnsiTheme="minorHAnsi" w:cstheme="minorHAnsi"/>
          <w:spacing w:val="-6"/>
          <w:lang w:eastAsia="zh-CN" w:bidi="ar"/>
        </w:rPr>
        <w:t xml:space="preserve"> </w:t>
      </w:r>
      <w:r w:rsidRPr="00337D6E">
        <w:rPr>
          <w:rFonts w:asciiTheme="minorHAnsi" w:hAnsiTheme="minorHAnsi" w:cstheme="minorHAnsi"/>
          <w:lang w:eastAsia="zh-CN" w:bidi="ar"/>
        </w:rPr>
        <w:t>Blok</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HF3,</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RT.8/RW.6,</w:t>
      </w:r>
      <w:r w:rsidRPr="00337D6E">
        <w:rPr>
          <w:rFonts w:asciiTheme="minorHAnsi" w:hAnsiTheme="minorHAnsi" w:cstheme="minorHAnsi"/>
          <w:spacing w:val="-4"/>
          <w:lang w:eastAsia="zh-CN" w:bidi="ar"/>
        </w:rPr>
        <w:t xml:space="preserve"> </w:t>
      </w:r>
      <w:r w:rsidRPr="00337D6E">
        <w:rPr>
          <w:rFonts w:asciiTheme="minorHAnsi" w:hAnsiTheme="minorHAnsi" w:cstheme="minorHAnsi"/>
          <w:lang w:eastAsia="zh-CN" w:bidi="ar"/>
        </w:rPr>
        <w:t>Klp. Gading Bar., Kec. Klp. Gading, Jakarta Utara, 14240</w:t>
      </w:r>
    </w:p>
    <w:p w14:paraId="1B8B54FC" w14:textId="10A2DC3E" w:rsidR="008F5165" w:rsidRPr="00337D6E" w:rsidRDefault="00337D6E" w:rsidP="00337D6E">
      <w:pPr>
        <w:tabs>
          <w:tab w:val="left" w:pos="3612"/>
        </w:tabs>
        <w:spacing w:before="293"/>
        <w:ind w:left="3612" w:hanging="3600"/>
        <w:rPr>
          <w:rFonts w:asciiTheme="minorHAnsi" w:hAnsiTheme="minorHAnsi" w:cstheme="minorHAnsi"/>
          <w:sz w:val="24"/>
          <w:szCs w:val="24"/>
        </w:rPr>
      </w:pPr>
      <w:r w:rsidRPr="00337D6E">
        <w:rPr>
          <w:rFonts w:asciiTheme="minorHAnsi" w:hAnsiTheme="minorHAnsi" w:cstheme="minorHAnsi"/>
          <w:sz w:val="24"/>
          <w:szCs w:val="24"/>
          <w:lang w:eastAsia="zh-CN" w:bidi="ar"/>
        </w:rPr>
        <w:t>Electronic Attendance Link</w:t>
      </w:r>
      <w:r w:rsidR="00000000" w:rsidRPr="00337D6E">
        <w:rPr>
          <w:rFonts w:asciiTheme="minorHAnsi" w:hAnsiTheme="minorHAnsi" w:cstheme="minorHAnsi"/>
          <w:sz w:val="24"/>
          <w:szCs w:val="24"/>
          <w:lang w:eastAsia="zh-CN" w:bidi="ar"/>
        </w:rPr>
        <w:tab/>
        <w:t>:</w:t>
      </w:r>
      <w:r w:rsidR="00000000" w:rsidRPr="00337D6E">
        <w:rPr>
          <w:rFonts w:asciiTheme="minorHAnsi" w:hAnsiTheme="minorHAnsi" w:cstheme="minorHAnsi"/>
          <w:spacing w:val="-5"/>
          <w:sz w:val="24"/>
          <w:szCs w:val="24"/>
          <w:lang w:eastAsia="zh-CN" w:bidi="ar"/>
        </w:rPr>
        <w:t xml:space="preserve"> </w:t>
      </w:r>
      <w:r w:rsidRPr="00337D6E">
        <w:rPr>
          <w:rFonts w:asciiTheme="minorHAnsi" w:hAnsiTheme="minorHAnsi" w:cstheme="minorHAnsi"/>
          <w:sz w:val="24"/>
          <w:szCs w:val="24"/>
          <w:lang w:eastAsia="zh-CN" w:bidi="ar"/>
        </w:rPr>
        <w:t xml:space="preserve">Accessing the </w:t>
      </w:r>
      <w:r w:rsidRPr="00337D6E">
        <w:rPr>
          <w:rFonts w:asciiTheme="minorHAnsi" w:hAnsiTheme="minorHAnsi" w:cstheme="minorHAnsi"/>
          <w:i/>
          <w:iCs/>
          <w:sz w:val="24"/>
          <w:szCs w:val="24"/>
          <w:lang w:eastAsia="zh-CN" w:bidi="ar"/>
        </w:rPr>
        <w:t>KSEI Electronic General Meeting</w:t>
      </w:r>
      <w:r w:rsidRPr="00337D6E">
        <w:rPr>
          <w:rFonts w:asciiTheme="minorHAnsi" w:hAnsiTheme="minorHAnsi" w:cstheme="minorHAnsi"/>
          <w:i/>
          <w:iCs/>
          <w:sz w:val="24"/>
          <w:szCs w:val="24"/>
          <w:lang w:eastAsia="zh-CN" w:bidi="ar"/>
        </w:rPr>
        <w:br/>
        <w:t>System</w:t>
      </w:r>
      <w:r w:rsidRPr="00337D6E">
        <w:rPr>
          <w:rFonts w:asciiTheme="minorHAnsi" w:hAnsiTheme="minorHAnsi" w:cstheme="minorHAnsi"/>
          <w:sz w:val="24"/>
          <w:szCs w:val="24"/>
          <w:lang w:eastAsia="zh-CN" w:bidi="ar"/>
        </w:rPr>
        <w:t xml:space="preserve"> (eASY.KSEI) facility through the following link</w:t>
      </w:r>
      <w:r w:rsidRPr="00337D6E">
        <w:rPr>
          <w:rFonts w:asciiTheme="minorHAnsi" w:hAnsiTheme="minorHAnsi" w:cstheme="minorHAnsi"/>
          <w:sz w:val="24"/>
          <w:szCs w:val="24"/>
          <w:lang w:eastAsia="zh-CN" w:bidi="ar"/>
        </w:rPr>
        <w:br/>
      </w:r>
      <w:hyperlink r:id="rId7" w:tgtFrame="_new" w:history="1">
        <w:r w:rsidRPr="00337D6E">
          <w:rPr>
            <w:rStyle w:val="a4"/>
            <w:rFonts w:asciiTheme="minorHAnsi" w:hAnsiTheme="minorHAnsi" w:cstheme="minorHAnsi"/>
            <w:sz w:val="24"/>
            <w:szCs w:val="24"/>
            <w:lang w:eastAsia="zh-CN" w:bidi="ar"/>
          </w:rPr>
          <w:t>https://akses.ksei.co.id/</w:t>
        </w:r>
      </w:hyperlink>
      <w:r w:rsidRPr="00337D6E">
        <w:rPr>
          <w:rFonts w:asciiTheme="minorHAnsi" w:hAnsiTheme="minorHAnsi" w:cstheme="minorHAnsi"/>
          <w:sz w:val="24"/>
          <w:szCs w:val="24"/>
          <w:lang w:eastAsia="zh-CN" w:bidi="ar"/>
        </w:rPr>
        <w:t xml:space="preserve"> provided by KSEI.</w:t>
      </w:r>
    </w:p>
    <w:p w14:paraId="06DAF59D" w14:textId="77777777" w:rsidR="008F5165" w:rsidRPr="00337D6E" w:rsidRDefault="008F5165">
      <w:pPr>
        <w:pStyle w:val="a3"/>
        <w:spacing w:before="1"/>
        <w:rPr>
          <w:rFonts w:asciiTheme="minorHAnsi" w:hAnsiTheme="minorHAnsi" w:cstheme="minorHAnsi"/>
        </w:rPr>
      </w:pPr>
    </w:p>
    <w:p w14:paraId="4DEA10A8" w14:textId="596EBEFF" w:rsidR="008F5165" w:rsidRPr="00337D6E" w:rsidRDefault="00337D6E">
      <w:pPr>
        <w:pStyle w:val="a3"/>
        <w:ind w:left="12"/>
        <w:rPr>
          <w:rFonts w:asciiTheme="minorHAnsi" w:hAnsiTheme="minorHAnsi" w:cstheme="minorHAnsi"/>
        </w:rPr>
      </w:pPr>
      <w:r w:rsidRPr="00337D6E">
        <w:rPr>
          <w:rFonts w:asciiTheme="minorHAnsi" w:hAnsiTheme="minorHAnsi" w:cstheme="minorHAnsi"/>
        </w:rPr>
        <w:t>The AGMS of the Company for Fiscal Year 2025 shall be convened with the following agenda</w:t>
      </w:r>
      <w:r w:rsidR="00000000" w:rsidRPr="00337D6E">
        <w:rPr>
          <w:rFonts w:asciiTheme="minorHAnsi" w:hAnsiTheme="minorHAnsi" w:cstheme="minorHAnsi"/>
          <w:spacing w:val="-3"/>
        </w:rPr>
        <w:t xml:space="preserve"> </w:t>
      </w:r>
      <w:r w:rsidR="00000000" w:rsidRPr="00337D6E">
        <w:rPr>
          <w:rFonts w:asciiTheme="minorHAnsi" w:hAnsiTheme="minorHAnsi" w:cstheme="minorHAnsi"/>
          <w:spacing w:val="-10"/>
        </w:rPr>
        <w:t>:</w:t>
      </w:r>
    </w:p>
    <w:p w14:paraId="3ECA9EEC" w14:textId="77777777" w:rsidR="008F5165" w:rsidRPr="00337D6E" w:rsidRDefault="008F5165">
      <w:pPr>
        <w:pStyle w:val="a3"/>
        <w:spacing w:before="292"/>
        <w:rPr>
          <w:rFonts w:asciiTheme="minorHAnsi" w:hAnsiTheme="minorHAnsi" w:cstheme="minorHAnsi"/>
        </w:rPr>
      </w:pPr>
    </w:p>
    <w:p w14:paraId="63B710E0" w14:textId="11600EFC" w:rsidR="008F5165" w:rsidRPr="00337D6E" w:rsidRDefault="00337D6E">
      <w:pPr>
        <w:pStyle w:val="a6"/>
        <w:numPr>
          <w:ilvl w:val="0"/>
          <w:numId w:val="1"/>
        </w:numPr>
        <w:tabs>
          <w:tab w:val="left" w:pos="730"/>
          <w:tab w:val="left" w:pos="732"/>
        </w:tabs>
        <w:spacing w:before="1"/>
        <w:ind w:right="8"/>
        <w:rPr>
          <w:rFonts w:asciiTheme="minorHAnsi" w:hAnsiTheme="minorHAnsi" w:cstheme="minorHAnsi"/>
          <w:sz w:val="24"/>
          <w:szCs w:val="24"/>
        </w:rPr>
      </w:pPr>
      <w:r w:rsidRPr="00337D6E">
        <w:rPr>
          <w:rFonts w:asciiTheme="minorHAnsi" w:hAnsiTheme="minorHAnsi" w:cstheme="minorHAnsi"/>
          <w:sz w:val="24"/>
          <w:szCs w:val="24"/>
        </w:rPr>
        <w:t>Approval and ratification of the Company’s Annual Report for Fiscal Year 2025, including the Company’s Financial Statements for Fiscal Year 2025, the Supervisory Duties Report of the Board of Commissioners, and the granting of release and discharge (acquit et de charge) to the members of the Board of Directors and the Board of Commissioners</w:t>
      </w:r>
    </w:p>
    <w:p w14:paraId="338A6394" w14:textId="77777777" w:rsidR="00337D6E" w:rsidRPr="00337D6E" w:rsidRDefault="00337D6E">
      <w:pPr>
        <w:pStyle w:val="a3"/>
        <w:spacing w:before="2"/>
        <w:ind w:left="732"/>
        <w:rPr>
          <w:rFonts w:asciiTheme="minorHAnsi" w:eastAsiaTheme="minorEastAsia" w:hAnsiTheme="minorHAnsi" w:cstheme="minorHAnsi"/>
          <w:spacing w:val="-2"/>
          <w:lang w:eastAsia="zh-CN"/>
        </w:rPr>
      </w:pPr>
    </w:p>
    <w:p w14:paraId="0CEE92E7" w14:textId="3B7FDE92" w:rsidR="008F5165" w:rsidRPr="00337D6E" w:rsidRDefault="00337D6E">
      <w:pPr>
        <w:pStyle w:val="a3"/>
        <w:spacing w:before="2"/>
        <w:ind w:left="732"/>
        <w:rPr>
          <w:rFonts w:asciiTheme="minorHAnsi" w:hAnsiTheme="minorHAnsi" w:cstheme="minorHAnsi"/>
        </w:rPr>
      </w:pPr>
      <w:r w:rsidRPr="00337D6E">
        <w:rPr>
          <w:rFonts w:asciiTheme="minorHAnsi" w:hAnsiTheme="minorHAnsi" w:cstheme="minorHAnsi"/>
          <w:spacing w:val="-2"/>
        </w:rPr>
        <w:t>Explanation:</w:t>
      </w:r>
      <w:r w:rsidRPr="00337D6E">
        <w:rPr>
          <w:rFonts w:asciiTheme="minorHAnsi" w:hAnsiTheme="minorHAnsi" w:cstheme="minorHAnsi"/>
          <w:spacing w:val="-2"/>
        </w:rPr>
        <w:br/>
        <w:t>This agenda item is conducted to comply with Article 19 paragraph (2) letter a of the Company’s Articles of Association and Article 66 paragraph (1) of Law No. 40 of 2007 concerning Limited Liability Companies as amended by Law No. 11 of 2020 concerning Job Creation (“Company Law”) and Article 19 paragraph (3) of the Company’s Articles of Association and Article 69 paragraph (1) of the Company Law.</w:t>
      </w:r>
    </w:p>
    <w:p w14:paraId="3765B31F" w14:textId="77777777" w:rsidR="00337D6E" w:rsidRPr="00337D6E" w:rsidRDefault="00337D6E" w:rsidP="00337D6E">
      <w:pPr>
        <w:pStyle w:val="a6"/>
        <w:numPr>
          <w:ilvl w:val="0"/>
          <w:numId w:val="1"/>
        </w:numPr>
        <w:tabs>
          <w:tab w:val="left" w:pos="730"/>
          <w:tab w:val="left" w:pos="732"/>
        </w:tabs>
        <w:spacing w:before="292"/>
        <w:ind w:right="15"/>
        <w:rPr>
          <w:rFonts w:asciiTheme="minorHAnsi" w:hAnsiTheme="minorHAnsi" w:cstheme="minorHAnsi"/>
          <w:sz w:val="24"/>
          <w:szCs w:val="24"/>
          <w:lang w:val="en-US"/>
        </w:rPr>
      </w:pPr>
      <w:r w:rsidRPr="00337D6E">
        <w:rPr>
          <w:rFonts w:asciiTheme="minorHAnsi" w:hAnsiTheme="minorHAnsi" w:cstheme="minorHAnsi"/>
          <w:sz w:val="24"/>
          <w:szCs w:val="24"/>
          <w:lang w:val="en-US"/>
        </w:rPr>
        <w:t xml:space="preserve">Determination of the appropriation of the Company’s Net Profit for Fiscal Year 2025. </w:t>
      </w:r>
    </w:p>
    <w:p w14:paraId="476328B8" w14:textId="39F2EC72" w:rsidR="00337D6E" w:rsidRPr="00337D6E" w:rsidRDefault="00337D6E" w:rsidP="00337D6E">
      <w:pPr>
        <w:pStyle w:val="a6"/>
        <w:tabs>
          <w:tab w:val="left" w:pos="730"/>
          <w:tab w:val="left" w:pos="732"/>
        </w:tabs>
        <w:spacing w:before="292"/>
        <w:ind w:left="732" w:right="15" w:firstLine="0"/>
        <w:rPr>
          <w:rFonts w:asciiTheme="minorHAnsi" w:hAnsiTheme="minorHAnsi" w:cstheme="minorHAnsi"/>
          <w:sz w:val="24"/>
          <w:szCs w:val="24"/>
          <w:lang w:val="en-US"/>
        </w:rPr>
      </w:pPr>
      <w:r w:rsidRPr="00337D6E">
        <w:rPr>
          <w:rFonts w:asciiTheme="minorHAnsi" w:hAnsiTheme="minorHAnsi" w:cstheme="minorHAnsi"/>
          <w:sz w:val="24"/>
          <w:szCs w:val="24"/>
          <w:lang w:val="en-US"/>
        </w:rPr>
        <w:t>Explanation:</w:t>
      </w:r>
      <w:r w:rsidRPr="00337D6E">
        <w:rPr>
          <w:rFonts w:asciiTheme="minorHAnsi" w:hAnsiTheme="minorHAnsi" w:cstheme="minorHAnsi"/>
          <w:sz w:val="24"/>
          <w:szCs w:val="24"/>
          <w:lang w:val="en-US"/>
        </w:rPr>
        <w:br/>
        <w:t>This agenda item is conducted to comply with Article 19 paragraph (2) letter b of the Company’s Articles of Association and Article 71 of the Company Law.</w:t>
      </w:r>
    </w:p>
    <w:p w14:paraId="2AB36BE6" w14:textId="77777777" w:rsidR="00337D6E" w:rsidRPr="00337D6E" w:rsidRDefault="00337D6E" w:rsidP="00337D6E">
      <w:pPr>
        <w:pStyle w:val="a3"/>
        <w:numPr>
          <w:ilvl w:val="0"/>
          <w:numId w:val="4"/>
        </w:numPr>
        <w:spacing w:before="292"/>
        <w:rPr>
          <w:rFonts w:asciiTheme="minorHAnsi" w:hAnsiTheme="minorHAnsi" w:cstheme="minorHAnsi"/>
          <w:lang w:val="en-US"/>
        </w:rPr>
      </w:pPr>
      <w:r w:rsidRPr="00337D6E">
        <w:rPr>
          <w:rFonts w:asciiTheme="minorHAnsi" w:hAnsiTheme="minorHAnsi" w:cstheme="minorHAnsi"/>
          <w:lang w:val="en-US"/>
        </w:rPr>
        <w:t xml:space="preserve">Approval and determination of honorarium and/or remuneration for members of the Company’s Board of Directors, determination of honorarium and/or remuneration for members of the Company’s Board of Commissioners, as well as tantiem and bonuses for the Board of Commissioners, Board of Directors and employees. </w:t>
      </w:r>
    </w:p>
    <w:p w14:paraId="403F0D54" w14:textId="77777777" w:rsidR="00337D6E" w:rsidRPr="00337D6E" w:rsidRDefault="00337D6E" w:rsidP="00337D6E">
      <w:pPr>
        <w:pStyle w:val="a3"/>
        <w:spacing w:before="292"/>
        <w:ind w:left="720"/>
        <w:rPr>
          <w:rFonts w:asciiTheme="minorHAnsi" w:hAnsiTheme="minorHAnsi" w:cstheme="minorHAnsi"/>
          <w:lang w:val="en-US"/>
        </w:rPr>
      </w:pPr>
      <w:r w:rsidRPr="00337D6E">
        <w:rPr>
          <w:rFonts w:asciiTheme="minorHAnsi" w:hAnsiTheme="minorHAnsi" w:cstheme="minorHAnsi"/>
          <w:lang w:val="en-US"/>
        </w:rPr>
        <w:lastRenderedPageBreak/>
        <w:t>Explanation:</w:t>
      </w:r>
      <w:r w:rsidRPr="00337D6E">
        <w:rPr>
          <w:rFonts w:asciiTheme="minorHAnsi" w:hAnsiTheme="minorHAnsi" w:cstheme="minorHAnsi"/>
          <w:lang w:val="en-US"/>
        </w:rPr>
        <w:br/>
        <w:t>This agenda item is conducted to comply with Article 14 paragraph (6) letter of the Company’s Articles of Association and Article 96 of the Company Law.</w:t>
      </w:r>
    </w:p>
    <w:p w14:paraId="495B454C" w14:textId="77777777" w:rsidR="008F5165" w:rsidRPr="00337D6E" w:rsidRDefault="008F5165">
      <w:pPr>
        <w:pStyle w:val="a3"/>
        <w:spacing w:before="292"/>
        <w:rPr>
          <w:rFonts w:asciiTheme="minorHAnsi" w:hAnsiTheme="minorHAnsi" w:cstheme="minorHAnsi"/>
          <w:lang w:val="en-US"/>
        </w:rPr>
      </w:pPr>
    </w:p>
    <w:p w14:paraId="7B8241A9" w14:textId="77777777" w:rsidR="00337D6E" w:rsidRPr="00337D6E" w:rsidRDefault="00337D6E" w:rsidP="00337D6E">
      <w:pPr>
        <w:pStyle w:val="a3"/>
        <w:numPr>
          <w:ilvl w:val="0"/>
          <w:numId w:val="5"/>
        </w:numPr>
        <w:spacing w:before="1"/>
        <w:rPr>
          <w:rFonts w:asciiTheme="minorHAnsi" w:hAnsiTheme="minorHAnsi" w:cstheme="minorHAnsi"/>
          <w:lang w:val="en-US"/>
        </w:rPr>
      </w:pPr>
      <w:r w:rsidRPr="00337D6E">
        <w:rPr>
          <w:rFonts w:asciiTheme="minorHAnsi" w:hAnsiTheme="minorHAnsi" w:cstheme="minorHAnsi"/>
          <w:lang w:val="en-US"/>
        </w:rPr>
        <w:t xml:space="preserve">Appointment of a Public Accounting Firm and/or Public Accountant to audit the Company’s Financial Statements for Fiscal Year 2026, including the Internal Control Audit over Financial Reporting. </w:t>
      </w:r>
    </w:p>
    <w:p w14:paraId="48736879" w14:textId="1B8A5994" w:rsidR="00337D6E" w:rsidRPr="00337D6E" w:rsidRDefault="00337D6E" w:rsidP="00337D6E">
      <w:pPr>
        <w:pStyle w:val="a3"/>
        <w:spacing w:before="1"/>
        <w:ind w:left="720"/>
        <w:rPr>
          <w:rFonts w:asciiTheme="minorHAnsi" w:hAnsiTheme="minorHAnsi" w:cstheme="minorHAnsi"/>
          <w:lang w:val="en-US"/>
        </w:rPr>
      </w:pPr>
      <w:r w:rsidRPr="00337D6E">
        <w:rPr>
          <w:rFonts w:asciiTheme="minorHAnsi" w:hAnsiTheme="minorHAnsi" w:cstheme="minorHAnsi"/>
          <w:lang w:val="en-US"/>
        </w:rPr>
        <w:t>Explanation:</w:t>
      </w:r>
      <w:r w:rsidRPr="00337D6E">
        <w:rPr>
          <w:rFonts w:asciiTheme="minorHAnsi" w:hAnsiTheme="minorHAnsi" w:cstheme="minorHAnsi"/>
          <w:lang w:val="en-US"/>
        </w:rPr>
        <w:br/>
        <w:t>This agenda item is conducted to comply with Article 19 paragraph (2) letter c of the Company’s Articles of Association, Article 59 of POJK 15/2020 and Article 3 of Financial Services Authority Regulation Number 9 of 2023 concerning the Use of Services of Public Accountants and Public Accounting Firms in Financial Services Activities.</w:t>
      </w:r>
      <w:r w:rsidRPr="00337D6E">
        <w:rPr>
          <w:rFonts w:asciiTheme="minorHAnsi" w:eastAsiaTheme="minorEastAsia" w:hAnsiTheme="minorHAnsi" w:cstheme="minorHAnsi"/>
          <w:lang w:val="en-US" w:eastAsia="zh-CN"/>
        </w:rPr>
        <w:t xml:space="preserve"> </w:t>
      </w:r>
      <w:r w:rsidRPr="00337D6E">
        <w:rPr>
          <w:rFonts w:asciiTheme="minorHAnsi" w:hAnsiTheme="minorHAnsi" w:cstheme="minorHAnsi"/>
          <w:lang w:val="en-US"/>
        </w:rPr>
        <w:t>The appointment of the Public Accounting Firm that will audit the Company’s Financial Statements for Fiscal Year 2025, including the Internal Control Audit over Financial Reporting, is proposed by the Board of Commissioners to subsequently be resolved by the AGMS.</w:t>
      </w:r>
    </w:p>
    <w:p w14:paraId="21B7883B" w14:textId="77777777" w:rsidR="008F5165" w:rsidRPr="00337D6E" w:rsidRDefault="008F5165">
      <w:pPr>
        <w:pStyle w:val="a3"/>
        <w:spacing w:before="1"/>
        <w:rPr>
          <w:rFonts w:asciiTheme="minorHAnsi" w:eastAsiaTheme="minorEastAsia" w:hAnsiTheme="minorHAnsi" w:cstheme="minorHAnsi"/>
          <w:lang w:val="en-US" w:eastAsia="zh-CN"/>
        </w:rPr>
      </w:pPr>
    </w:p>
    <w:p w14:paraId="3C2E7094" w14:textId="77777777" w:rsidR="00337D6E" w:rsidRPr="00337D6E" w:rsidRDefault="00337D6E" w:rsidP="00337D6E">
      <w:pPr>
        <w:pStyle w:val="a3"/>
        <w:numPr>
          <w:ilvl w:val="0"/>
          <w:numId w:val="7"/>
        </w:numPr>
        <w:spacing w:before="292"/>
        <w:rPr>
          <w:rFonts w:asciiTheme="minorHAnsi" w:hAnsiTheme="minorHAnsi" w:cstheme="minorHAnsi"/>
          <w:lang w:val="en-US"/>
        </w:rPr>
      </w:pPr>
      <w:r w:rsidRPr="00337D6E">
        <w:rPr>
          <w:rFonts w:asciiTheme="minorHAnsi" w:hAnsiTheme="minorHAnsi" w:cstheme="minorHAnsi"/>
          <w:lang w:val="en-US"/>
        </w:rPr>
        <w:t xml:space="preserve">Report on the Use of Proceeds from the Company’s Initial Public Offering (IPO). </w:t>
      </w:r>
    </w:p>
    <w:p w14:paraId="5CA1ABB1" w14:textId="77777777" w:rsidR="00337D6E" w:rsidRPr="00337D6E" w:rsidRDefault="00337D6E" w:rsidP="00337D6E">
      <w:pPr>
        <w:pStyle w:val="a3"/>
        <w:spacing w:before="292"/>
        <w:ind w:left="720"/>
        <w:rPr>
          <w:rFonts w:asciiTheme="minorHAnsi" w:hAnsiTheme="minorHAnsi" w:cstheme="minorHAnsi"/>
          <w:lang w:val="en-US"/>
        </w:rPr>
      </w:pPr>
      <w:r w:rsidRPr="00337D6E">
        <w:rPr>
          <w:rFonts w:asciiTheme="minorHAnsi" w:hAnsiTheme="minorHAnsi" w:cstheme="minorHAnsi"/>
          <w:lang w:val="en-US"/>
        </w:rPr>
        <w:t>Explanation:</w:t>
      </w:r>
      <w:r w:rsidRPr="00337D6E">
        <w:rPr>
          <w:rFonts w:asciiTheme="minorHAnsi" w:hAnsiTheme="minorHAnsi" w:cstheme="minorHAnsi"/>
          <w:lang w:val="en-US"/>
        </w:rPr>
        <w:br/>
        <w:t>This agenda item is conducted to comply with Articles 6 &amp; 7 of Financial Services Authority Regulation Number 30/POJK.04/2015 concerning Reports on the Realization of the Use of Proceeds from Public Offerings.</w:t>
      </w:r>
    </w:p>
    <w:p w14:paraId="641058A8" w14:textId="77777777" w:rsidR="008F5165" w:rsidRPr="00337D6E" w:rsidRDefault="008F5165">
      <w:pPr>
        <w:pStyle w:val="a3"/>
        <w:spacing w:before="292"/>
        <w:rPr>
          <w:rFonts w:asciiTheme="minorHAnsi" w:hAnsiTheme="minorHAnsi" w:cstheme="minorHAnsi"/>
          <w:lang w:val="en-US"/>
        </w:rPr>
      </w:pPr>
    </w:p>
    <w:p w14:paraId="791B3DB6" w14:textId="77777777" w:rsidR="00337D6E" w:rsidRPr="00337D6E" w:rsidRDefault="00337D6E" w:rsidP="00337D6E">
      <w:pPr>
        <w:tabs>
          <w:tab w:val="left" w:pos="718"/>
          <w:tab w:val="left" w:pos="720"/>
        </w:tabs>
        <w:spacing w:before="52" w:line="586" w:lineRule="exact"/>
        <w:ind w:right="13"/>
        <w:rPr>
          <w:rFonts w:asciiTheme="minorHAnsi" w:eastAsiaTheme="minorEastAsia" w:hAnsiTheme="minorHAnsi" w:cstheme="minorHAnsi"/>
          <w:sz w:val="24"/>
          <w:szCs w:val="24"/>
          <w:lang w:eastAsia="zh-CN"/>
        </w:rPr>
      </w:pPr>
      <w:r w:rsidRPr="00337D6E">
        <w:rPr>
          <w:rFonts w:asciiTheme="minorHAnsi" w:hAnsiTheme="minorHAnsi" w:cstheme="minorHAnsi"/>
          <w:sz w:val="24"/>
          <w:szCs w:val="24"/>
        </w:rPr>
        <w:t>The EGMS of the Company for Year 2026 shall be convened with the following agenda:</w:t>
      </w:r>
      <w:r w:rsidR="00000000" w:rsidRPr="00337D6E">
        <w:rPr>
          <w:rFonts w:asciiTheme="minorHAnsi" w:hAnsiTheme="minorHAnsi" w:cstheme="minorHAnsi"/>
          <w:sz w:val="24"/>
          <w:szCs w:val="24"/>
        </w:rPr>
        <w:t xml:space="preserve">Persetujuan </w:t>
      </w:r>
    </w:p>
    <w:p w14:paraId="28A338B0" w14:textId="58A76F05" w:rsidR="008F5165" w:rsidRPr="00337D6E" w:rsidRDefault="00337D6E" w:rsidP="00337D6E">
      <w:pPr>
        <w:pStyle w:val="a6"/>
        <w:numPr>
          <w:ilvl w:val="0"/>
          <w:numId w:val="8"/>
        </w:numPr>
        <w:tabs>
          <w:tab w:val="left" w:pos="718"/>
          <w:tab w:val="left" w:pos="720"/>
        </w:tabs>
        <w:spacing w:before="52" w:line="586" w:lineRule="exact"/>
        <w:ind w:right="13"/>
        <w:rPr>
          <w:rFonts w:asciiTheme="minorHAnsi" w:hAnsiTheme="minorHAnsi" w:cstheme="minorHAnsi"/>
          <w:sz w:val="24"/>
          <w:szCs w:val="24"/>
        </w:rPr>
      </w:pPr>
      <w:r w:rsidRPr="00337D6E">
        <w:rPr>
          <w:rFonts w:asciiTheme="minorHAnsi" w:hAnsiTheme="minorHAnsi" w:cstheme="minorHAnsi"/>
          <w:sz w:val="24"/>
          <w:szCs w:val="24"/>
        </w:rPr>
        <w:t>Approval of the Reappointment/Changes to Members of the Board of Directors.</w:t>
      </w:r>
    </w:p>
    <w:p w14:paraId="60EA2680" w14:textId="18402C44" w:rsidR="008F5165" w:rsidRPr="00337D6E" w:rsidRDefault="00337D6E" w:rsidP="00337D6E">
      <w:pPr>
        <w:pStyle w:val="a3"/>
        <w:ind w:left="720"/>
        <w:rPr>
          <w:rFonts w:asciiTheme="minorHAnsi" w:eastAsiaTheme="minorEastAsia" w:hAnsiTheme="minorHAnsi" w:cstheme="minorHAnsi"/>
          <w:spacing w:val="-2"/>
          <w:lang w:eastAsia="zh-CN"/>
        </w:rPr>
      </w:pPr>
      <w:r w:rsidRPr="00337D6E">
        <w:rPr>
          <w:rFonts w:asciiTheme="minorHAnsi" w:hAnsiTheme="minorHAnsi" w:cstheme="minorHAnsi"/>
          <w:spacing w:val="-2"/>
        </w:rPr>
        <w:t>Explanation:</w:t>
      </w:r>
      <w:r w:rsidRPr="00337D6E">
        <w:rPr>
          <w:rFonts w:asciiTheme="minorHAnsi" w:hAnsiTheme="minorHAnsi" w:cstheme="minorHAnsi"/>
          <w:spacing w:val="-2"/>
        </w:rPr>
        <w:br/>
        <w:t>This agenda item is conducted to comply with Article 3 of Financial Services Authority Regulation Number 33/POJK.04/2014 concerning the Board of Directors and Board of Commissioners of Issuers or Public Companies.</w:t>
      </w:r>
    </w:p>
    <w:p w14:paraId="04CE9241" w14:textId="77777777" w:rsidR="00337D6E" w:rsidRPr="00337D6E" w:rsidRDefault="00337D6E" w:rsidP="00337D6E">
      <w:pPr>
        <w:pStyle w:val="a3"/>
        <w:ind w:left="720"/>
        <w:rPr>
          <w:rFonts w:asciiTheme="minorHAnsi" w:eastAsiaTheme="minorEastAsia" w:hAnsiTheme="minorHAnsi" w:cstheme="minorHAnsi"/>
          <w:lang w:eastAsia="zh-CN"/>
        </w:rPr>
      </w:pPr>
    </w:p>
    <w:p w14:paraId="2B410A13" w14:textId="3CA2D30F" w:rsidR="00337D6E" w:rsidRPr="00337D6E" w:rsidRDefault="00337D6E" w:rsidP="00337D6E">
      <w:pPr>
        <w:pStyle w:val="a3"/>
        <w:ind w:left="732"/>
        <w:rPr>
          <w:rFonts w:asciiTheme="minorHAnsi" w:hAnsiTheme="minorHAnsi" w:cstheme="minorHAnsi"/>
        </w:rPr>
      </w:pPr>
      <w:r w:rsidRPr="00337D6E">
        <w:rPr>
          <w:rFonts w:asciiTheme="minorHAnsi" w:hAnsiTheme="minorHAnsi" w:cstheme="minorHAnsi"/>
        </w:rPr>
        <w:t>Notes:</w:t>
      </w:r>
    </w:p>
    <w:p w14:paraId="792C4B99" w14:textId="77777777" w:rsidR="00337D6E" w:rsidRPr="00337D6E" w:rsidRDefault="00337D6E" w:rsidP="00337D6E">
      <w:pPr>
        <w:pStyle w:val="a6"/>
        <w:numPr>
          <w:ilvl w:val="1"/>
          <w:numId w:val="2"/>
        </w:numPr>
        <w:tabs>
          <w:tab w:val="left" w:pos="1091"/>
        </w:tabs>
        <w:spacing w:before="243"/>
        <w:rPr>
          <w:rFonts w:asciiTheme="minorHAnsi" w:hAnsiTheme="minorHAnsi" w:cstheme="minorHAnsi"/>
          <w:sz w:val="24"/>
          <w:szCs w:val="24"/>
        </w:rPr>
      </w:pPr>
      <w:r w:rsidRPr="00337D6E">
        <w:rPr>
          <w:rFonts w:asciiTheme="minorHAnsi" w:hAnsiTheme="minorHAnsi" w:cstheme="minorHAnsi"/>
          <w:sz w:val="24"/>
          <w:szCs w:val="24"/>
        </w:rPr>
        <w:t xml:space="preserve">This notice serves as the official invitation to the AGMS &amp; EGMS for the shareholders of the Company in compliance with Article 21 paragraph (5) of the Company’s Articles of Association and Article 17 paragraph (1) of POJK 15/2020; therefore, the Board of Directors of the Company shall not issue separate invitations to the shareholders of the Company. </w:t>
      </w:r>
    </w:p>
    <w:p w14:paraId="335D1E79" w14:textId="77777777" w:rsidR="00337D6E" w:rsidRPr="00337D6E" w:rsidRDefault="00337D6E" w:rsidP="00337D6E">
      <w:pPr>
        <w:pStyle w:val="a6"/>
        <w:numPr>
          <w:ilvl w:val="1"/>
          <w:numId w:val="2"/>
        </w:numPr>
        <w:tabs>
          <w:tab w:val="left" w:pos="1091"/>
        </w:tabs>
        <w:spacing w:before="243"/>
        <w:rPr>
          <w:rFonts w:asciiTheme="minorHAnsi" w:hAnsiTheme="minorHAnsi" w:cstheme="minorHAnsi"/>
          <w:sz w:val="24"/>
          <w:szCs w:val="24"/>
        </w:rPr>
      </w:pPr>
      <w:r w:rsidRPr="00337D6E">
        <w:rPr>
          <w:rFonts w:asciiTheme="minorHAnsi" w:hAnsiTheme="minorHAnsi" w:cstheme="minorHAnsi"/>
          <w:sz w:val="24"/>
          <w:szCs w:val="24"/>
        </w:rPr>
        <w:t xml:space="preserve">The AGMS shall be conducted in a “Hybrid” format. Those entitled to vote in the AGMS &amp; EGMS are the shareholders of the Company whose names are registered in the Register of Shareholders of the Company 1 (one) business day prior to the notice of the AGMS &amp; EGMS as stipulated under Article 23 paragraph 3 letter a of the Company’s Articles of Association and Article 23 paragraph (2) of POJK 15/2020, namely on 07 June 2025 at 04:15 PM WIB. </w:t>
      </w:r>
    </w:p>
    <w:p w14:paraId="00E81469" w14:textId="77DE05C1" w:rsidR="008F5165" w:rsidRPr="00337D6E" w:rsidRDefault="00337D6E" w:rsidP="00337D6E">
      <w:pPr>
        <w:pStyle w:val="a6"/>
        <w:numPr>
          <w:ilvl w:val="1"/>
          <w:numId w:val="2"/>
        </w:numPr>
        <w:tabs>
          <w:tab w:val="left" w:pos="1091"/>
        </w:tabs>
        <w:spacing w:before="243"/>
        <w:rPr>
          <w:rFonts w:asciiTheme="minorHAnsi" w:hAnsiTheme="minorHAnsi" w:cstheme="minorHAnsi"/>
          <w:sz w:val="24"/>
          <w:szCs w:val="24"/>
        </w:rPr>
      </w:pPr>
      <w:r w:rsidRPr="00337D6E">
        <w:rPr>
          <w:rFonts w:asciiTheme="minorHAnsi" w:hAnsiTheme="minorHAnsi" w:cstheme="minorHAnsi"/>
          <w:sz w:val="24"/>
          <w:szCs w:val="24"/>
        </w:rPr>
        <w:t>In compliance with the provisions of POJK 15/2020 and POJK 16/2020, therefore:</w:t>
      </w:r>
    </w:p>
    <w:p w14:paraId="1D06E724" w14:textId="55B4960F" w:rsidR="008F5165" w:rsidRPr="00337D6E" w:rsidRDefault="00337D6E">
      <w:pPr>
        <w:pStyle w:val="a6"/>
        <w:numPr>
          <w:ilvl w:val="2"/>
          <w:numId w:val="2"/>
        </w:numPr>
        <w:tabs>
          <w:tab w:val="left" w:pos="1812"/>
        </w:tabs>
        <w:spacing w:before="292"/>
        <w:ind w:right="4"/>
        <w:rPr>
          <w:rFonts w:asciiTheme="minorHAnsi" w:hAnsiTheme="minorHAnsi" w:cstheme="minorHAnsi"/>
          <w:sz w:val="24"/>
          <w:szCs w:val="24"/>
        </w:rPr>
      </w:pPr>
      <w:r w:rsidRPr="00337D6E">
        <w:rPr>
          <w:rFonts w:asciiTheme="minorHAnsi" w:hAnsiTheme="minorHAnsi" w:cstheme="minorHAnsi"/>
          <w:sz w:val="24"/>
          <w:szCs w:val="24"/>
        </w:rPr>
        <w:lastRenderedPageBreak/>
        <w:t>The Company encourages shareholders of the Company whose shares are deposited in the KSEI collective custody to attend the AGMS &amp; EGMS or grant a power of attorney to a proxy through the KSEI Electronic General Meeting System (“eASY.KSEI”), provided that the electronic proxy is not a member of the Board of Directors, Board of Commissioners, or an employee of the Company, with the following procedures</w:t>
      </w:r>
      <w:r w:rsidRPr="00337D6E">
        <w:rPr>
          <w:rFonts w:asciiTheme="minorHAnsi" w:eastAsiaTheme="minorEastAsia" w:hAnsiTheme="minorHAnsi" w:cstheme="minorHAnsi"/>
          <w:sz w:val="24"/>
          <w:szCs w:val="24"/>
          <w:lang w:eastAsia="zh-CN"/>
        </w:rPr>
        <w:t xml:space="preserve"> </w:t>
      </w:r>
      <w:r w:rsidR="00000000" w:rsidRPr="00337D6E">
        <w:rPr>
          <w:rFonts w:asciiTheme="minorHAnsi" w:hAnsiTheme="minorHAnsi" w:cstheme="minorHAnsi"/>
          <w:sz w:val="24"/>
          <w:szCs w:val="24"/>
        </w:rPr>
        <w:t>:</w:t>
      </w:r>
    </w:p>
    <w:p w14:paraId="3C89AB4F" w14:textId="77777777" w:rsidR="008F5165" w:rsidRPr="00337D6E" w:rsidRDefault="008F5165">
      <w:pPr>
        <w:pStyle w:val="a3"/>
        <w:rPr>
          <w:rFonts w:asciiTheme="minorHAnsi" w:hAnsiTheme="minorHAnsi" w:cstheme="minorHAnsi"/>
        </w:rPr>
      </w:pPr>
    </w:p>
    <w:p w14:paraId="5FAFA11E" w14:textId="287B6F6A" w:rsidR="008F5165" w:rsidRPr="00337D6E" w:rsidRDefault="00337D6E">
      <w:pPr>
        <w:pStyle w:val="a6"/>
        <w:numPr>
          <w:ilvl w:val="3"/>
          <w:numId w:val="2"/>
        </w:numPr>
        <w:tabs>
          <w:tab w:val="left" w:pos="2172"/>
        </w:tabs>
        <w:ind w:right="13"/>
        <w:rPr>
          <w:rFonts w:asciiTheme="minorHAnsi" w:hAnsiTheme="minorHAnsi" w:cstheme="minorHAnsi"/>
          <w:sz w:val="24"/>
          <w:szCs w:val="24"/>
        </w:rPr>
      </w:pPr>
      <w:r w:rsidRPr="00337D6E">
        <w:rPr>
          <w:rFonts w:asciiTheme="minorHAnsi" w:hAnsiTheme="minorHAnsi" w:cstheme="minorHAnsi"/>
          <w:sz w:val="24"/>
          <w:szCs w:val="24"/>
        </w:rPr>
        <w:t>Shareholders must first be registered in the KSEI Securities Ownership Reference facility (“AKSes KSEI”). If shareholders have not been registered, please register by visiting the website akses.ksei.co.id;</w:t>
      </w:r>
    </w:p>
    <w:p w14:paraId="250776F6" w14:textId="0B6AD8F3" w:rsidR="008F5165" w:rsidRPr="00337D6E" w:rsidRDefault="00337D6E">
      <w:pPr>
        <w:pStyle w:val="a6"/>
        <w:numPr>
          <w:ilvl w:val="3"/>
          <w:numId w:val="2"/>
        </w:numPr>
        <w:tabs>
          <w:tab w:val="left" w:pos="2172"/>
        </w:tabs>
        <w:spacing w:before="292"/>
        <w:ind w:right="7"/>
        <w:rPr>
          <w:rFonts w:asciiTheme="minorHAnsi" w:hAnsiTheme="minorHAnsi" w:cstheme="minorHAnsi"/>
          <w:sz w:val="24"/>
          <w:szCs w:val="24"/>
        </w:rPr>
      </w:pPr>
      <w:r w:rsidRPr="00337D6E">
        <w:rPr>
          <w:rFonts w:asciiTheme="minorHAnsi" w:hAnsiTheme="minorHAnsi" w:cstheme="minorHAnsi"/>
          <w:sz w:val="24"/>
          <w:szCs w:val="24"/>
        </w:rPr>
        <w:t>Shareholders who have been registered as AKSes KSEI users may electronically grant their proxy through eASY.KSEI by first logging into AKSes KSEI (akses.ksei.co.id);</w:t>
      </w:r>
    </w:p>
    <w:p w14:paraId="4A03697A" w14:textId="77777777" w:rsidR="00337D6E" w:rsidRPr="00337D6E" w:rsidRDefault="00337D6E" w:rsidP="00337D6E">
      <w:pPr>
        <w:pStyle w:val="a6"/>
        <w:numPr>
          <w:ilvl w:val="3"/>
          <w:numId w:val="2"/>
        </w:numPr>
        <w:tabs>
          <w:tab w:val="left" w:pos="2172"/>
        </w:tabs>
        <w:spacing w:before="292"/>
        <w:rPr>
          <w:rFonts w:asciiTheme="minorHAnsi" w:hAnsiTheme="minorHAnsi" w:cstheme="minorHAnsi"/>
          <w:sz w:val="24"/>
          <w:szCs w:val="24"/>
        </w:rPr>
      </w:pPr>
      <w:r w:rsidRPr="00337D6E">
        <w:rPr>
          <w:rFonts w:asciiTheme="minorHAnsi" w:hAnsiTheme="minorHAnsi" w:cstheme="minorHAnsi"/>
          <w:sz w:val="24"/>
          <w:szCs w:val="24"/>
        </w:rPr>
        <w:t>The period during which shareholders may declare their proxy and vote, make changes to the appointment of proxy recipients and/or amend voting choices for each agenda item of the AGMS &amp; EGMS, as well as revoke proxies, shall commence from the date of this notice of AGMS &amp; EGMS until no later than 1 (one) business day before 29 June 2026 at 12:00 PM WIB; and</w:t>
      </w:r>
    </w:p>
    <w:p w14:paraId="3CDC5CBF" w14:textId="0606B2BB" w:rsidR="008F5165" w:rsidRPr="00337D6E" w:rsidRDefault="00337D6E" w:rsidP="00337D6E">
      <w:pPr>
        <w:pStyle w:val="a6"/>
        <w:numPr>
          <w:ilvl w:val="3"/>
          <w:numId w:val="2"/>
        </w:numPr>
        <w:tabs>
          <w:tab w:val="left" w:pos="2172"/>
        </w:tabs>
        <w:spacing w:before="292"/>
        <w:rPr>
          <w:rFonts w:asciiTheme="minorHAnsi" w:hAnsiTheme="minorHAnsi" w:cstheme="minorHAnsi"/>
          <w:sz w:val="24"/>
          <w:szCs w:val="24"/>
        </w:rPr>
      </w:pPr>
      <w:r w:rsidRPr="00337D6E">
        <w:rPr>
          <w:rFonts w:asciiTheme="minorHAnsi" w:hAnsiTheme="minorHAnsi" w:cstheme="minorHAnsi"/>
          <w:sz w:val="24"/>
          <w:szCs w:val="24"/>
        </w:rPr>
        <w:t xml:space="preserve">Guidelines for registration, usage, and further explanation regarding eASY.KSEI have also been uploaded on the Company’s website at </w:t>
      </w:r>
      <w:hyperlink r:id="rId8" w:tgtFrame="_new" w:history="1">
        <w:r w:rsidRPr="00337D6E">
          <w:rPr>
            <w:rStyle w:val="a4"/>
            <w:rFonts w:asciiTheme="minorHAnsi" w:hAnsiTheme="minorHAnsi" w:cstheme="minorHAnsi"/>
            <w:sz w:val="24"/>
            <w:szCs w:val="24"/>
          </w:rPr>
          <w:t>www.permaplasindo.co.id</w:t>
        </w:r>
      </w:hyperlink>
    </w:p>
    <w:p w14:paraId="148350E8" w14:textId="77777777" w:rsidR="008F5165" w:rsidRPr="00337D6E" w:rsidRDefault="008F5165">
      <w:pPr>
        <w:pStyle w:val="a3"/>
        <w:rPr>
          <w:rFonts w:asciiTheme="minorHAnsi" w:hAnsiTheme="minorHAnsi" w:cstheme="minorHAnsi"/>
        </w:rPr>
      </w:pPr>
    </w:p>
    <w:p w14:paraId="422F16AE" w14:textId="77777777" w:rsidR="008F5165" w:rsidRPr="00337D6E" w:rsidRDefault="008F5165">
      <w:pPr>
        <w:pStyle w:val="a3"/>
        <w:rPr>
          <w:rFonts w:asciiTheme="minorHAnsi" w:hAnsiTheme="minorHAnsi" w:cstheme="minorHAnsi"/>
        </w:rPr>
      </w:pPr>
    </w:p>
    <w:p w14:paraId="24B2CAEF" w14:textId="77777777" w:rsidR="00337D6E" w:rsidRPr="00337D6E" w:rsidRDefault="00337D6E" w:rsidP="00337D6E">
      <w:pPr>
        <w:pStyle w:val="a6"/>
        <w:numPr>
          <w:ilvl w:val="2"/>
          <w:numId w:val="2"/>
        </w:numPr>
        <w:tabs>
          <w:tab w:val="left" w:pos="1812"/>
        </w:tabs>
        <w:rPr>
          <w:rFonts w:asciiTheme="minorHAnsi" w:hAnsiTheme="minorHAnsi" w:cstheme="minorHAnsi"/>
          <w:sz w:val="24"/>
          <w:szCs w:val="24"/>
        </w:rPr>
      </w:pPr>
      <w:r w:rsidRPr="00337D6E">
        <w:rPr>
          <w:rFonts w:asciiTheme="minorHAnsi" w:hAnsiTheme="minorHAnsi" w:cstheme="minorHAnsi"/>
          <w:sz w:val="24"/>
          <w:szCs w:val="24"/>
        </w:rPr>
        <w:t>Shareholders who hold shares in script form may physically attend the AGMS &amp; EGMS.</w:t>
      </w:r>
    </w:p>
    <w:p w14:paraId="0FE9579E" w14:textId="77777777" w:rsidR="00337D6E" w:rsidRPr="00337D6E" w:rsidRDefault="00337D6E">
      <w:pPr>
        <w:pStyle w:val="a6"/>
        <w:numPr>
          <w:ilvl w:val="1"/>
          <w:numId w:val="2"/>
        </w:numPr>
        <w:tabs>
          <w:tab w:val="left" w:pos="1092"/>
        </w:tabs>
        <w:spacing w:before="292"/>
        <w:ind w:right="6"/>
        <w:rPr>
          <w:rFonts w:asciiTheme="minorHAnsi" w:hAnsiTheme="minorHAnsi" w:cstheme="minorHAnsi"/>
          <w:sz w:val="24"/>
          <w:szCs w:val="24"/>
        </w:rPr>
      </w:pPr>
      <w:r w:rsidRPr="00337D6E">
        <w:rPr>
          <w:rFonts w:asciiTheme="minorHAnsi" w:hAnsiTheme="minorHAnsi" w:cstheme="minorHAnsi"/>
          <w:sz w:val="24"/>
          <w:szCs w:val="24"/>
        </w:rPr>
        <w:t>Prior to entering the AGMS &amp; EGMS meeting room, shareholders of the Company and/or their proxies are requested to submit a photocopy of their identification documents to the registration officer. Shareholders in the form of legal entities must bring a photocopy of their Articles of Association and amendments thereto together with the latest composition of management.</w:t>
      </w:r>
    </w:p>
    <w:p w14:paraId="1E847C5F" w14:textId="617346E6" w:rsidR="008F5165" w:rsidRPr="00337D6E" w:rsidRDefault="00337D6E">
      <w:pPr>
        <w:pStyle w:val="a6"/>
        <w:numPr>
          <w:ilvl w:val="1"/>
          <w:numId w:val="2"/>
        </w:numPr>
        <w:tabs>
          <w:tab w:val="left" w:pos="1092"/>
        </w:tabs>
        <w:spacing w:before="292"/>
        <w:ind w:right="6"/>
        <w:rPr>
          <w:rFonts w:asciiTheme="minorHAnsi" w:hAnsiTheme="minorHAnsi" w:cstheme="minorHAnsi"/>
          <w:sz w:val="24"/>
          <w:szCs w:val="24"/>
        </w:rPr>
      </w:pPr>
      <w:r w:rsidRPr="00337D6E">
        <w:rPr>
          <w:rFonts w:asciiTheme="minorHAnsi" w:hAnsiTheme="minorHAnsi" w:cstheme="minorHAnsi"/>
          <w:sz w:val="24"/>
          <w:szCs w:val="24"/>
        </w:rPr>
        <w:t>Shareholders who are unable to attend electronically may be represented by their proxies through electronic proxy (e-Proxy) or electronically, provided that members of the Board of Directors, Board of Commissioners, and employees of the Company may act as proxies in the AGMS &amp; EGMS, however, the votes cast by them as proxies in the AGMS &amp; EGMS shall not be counted in the voting process and with due observance of the provisions of Article 48 of POJK/2020, shareholders of the Company are not entitled to grant proxy to more than one proxy for a portion of the shares they own with different votes. The power of attorney form may be downloaded from the Company’s website and shall be available as of the announcement of this Notice</w:t>
      </w:r>
      <w:r w:rsidR="00000000" w:rsidRPr="00337D6E">
        <w:rPr>
          <w:rFonts w:asciiTheme="minorHAnsi" w:hAnsiTheme="minorHAnsi" w:cstheme="minorHAnsi"/>
          <w:sz w:val="24"/>
          <w:szCs w:val="24"/>
        </w:rPr>
        <w:t>.</w:t>
      </w:r>
    </w:p>
    <w:p w14:paraId="513C6094" w14:textId="77777777" w:rsidR="008F5165" w:rsidRPr="00337D6E" w:rsidRDefault="008F5165">
      <w:pPr>
        <w:pStyle w:val="a6"/>
        <w:rPr>
          <w:rFonts w:asciiTheme="minorHAnsi" w:hAnsiTheme="minorHAnsi" w:cstheme="minorHAnsi"/>
          <w:sz w:val="24"/>
          <w:szCs w:val="24"/>
        </w:rPr>
        <w:sectPr w:rsidR="008F5165" w:rsidRPr="00337D6E" w:rsidSect="00337D6E">
          <w:type w:val="continuous"/>
          <w:pgSz w:w="11900" w:h="16850"/>
          <w:pgMar w:top="1940" w:right="708" w:bottom="280" w:left="708" w:header="720" w:footer="720" w:gutter="0"/>
          <w:cols w:space="720"/>
        </w:sectPr>
      </w:pPr>
    </w:p>
    <w:p w14:paraId="5103BB47" w14:textId="77777777" w:rsidR="008F5165" w:rsidRPr="00337D6E" w:rsidRDefault="008F5165">
      <w:pPr>
        <w:pStyle w:val="a3"/>
        <w:spacing w:before="242"/>
        <w:rPr>
          <w:rFonts w:asciiTheme="minorHAnsi" w:hAnsiTheme="minorHAnsi" w:cstheme="minorHAnsi"/>
        </w:rPr>
      </w:pPr>
    </w:p>
    <w:p w14:paraId="5C7B49D1" w14:textId="6136D0ED" w:rsidR="008F5165" w:rsidRPr="00337D6E" w:rsidRDefault="00337D6E">
      <w:pPr>
        <w:pStyle w:val="a6"/>
        <w:numPr>
          <w:ilvl w:val="1"/>
          <w:numId w:val="2"/>
        </w:numPr>
        <w:tabs>
          <w:tab w:val="left" w:pos="1092"/>
        </w:tabs>
        <w:spacing w:before="1"/>
        <w:ind w:right="4"/>
        <w:rPr>
          <w:rFonts w:asciiTheme="minorHAnsi" w:hAnsiTheme="minorHAnsi" w:cstheme="minorHAnsi"/>
          <w:sz w:val="24"/>
          <w:szCs w:val="24"/>
        </w:rPr>
      </w:pPr>
      <w:r w:rsidRPr="00337D6E">
        <w:rPr>
          <w:rFonts w:asciiTheme="minorHAnsi" w:hAnsiTheme="minorHAnsi" w:cstheme="minorHAnsi"/>
          <w:sz w:val="24"/>
          <w:szCs w:val="24"/>
        </w:rPr>
        <w:t>Materials to be discussed in the AGMS &amp; EGMS (“</w:t>
      </w:r>
      <w:r w:rsidRPr="00337D6E">
        <w:rPr>
          <w:rFonts w:asciiTheme="minorHAnsi" w:hAnsiTheme="minorHAnsi" w:cstheme="minorHAnsi"/>
          <w:b/>
          <w:bCs/>
          <w:sz w:val="24"/>
          <w:szCs w:val="24"/>
        </w:rPr>
        <w:t>Meeting Materials</w:t>
      </w:r>
      <w:r w:rsidRPr="00337D6E">
        <w:rPr>
          <w:rFonts w:asciiTheme="minorHAnsi" w:hAnsiTheme="minorHAnsi" w:cstheme="minorHAnsi"/>
          <w:sz w:val="24"/>
          <w:szCs w:val="24"/>
        </w:rPr>
        <w:t xml:space="preserve">”) may be downloaded from the Company’s website at </w:t>
      </w:r>
      <w:hyperlink r:id="rId9" w:tgtFrame="_new" w:history="1">
        <w:r w:rsidRPr="00337D6E">
          <w:rPr>
            <w:rStyle w:val="a4"/>
            <w:rFonts w:asciiTheme="minorHAnsi" w:hAnsiTheme="minorHAnsi" w:cstheme="minorHAnsi"/>
            <w:sz w:val="24"/>
            <w:szCs w:val="24"/>
          </w:rPr>
          <w:t>www.permaplasindo.co.id</w:t>
        </w:r>
      </w:hyperlink>
      <w:r w:rsidRPr="00337D6E">
        <w:rPr>
          <w:rFonts w:asciiTheme="minorHAnsi" w:hAnsiTheme="minorHAnsi" w:cstheme="minorHAnsi"/>
          <w:sz w:val="24"/>
          <w:szCs w:val="24"/>
        </w:rPr>
        <w:t xml:space="preserve"> no later than 1 day prior to the AGMS &amp; EGMS date. The Company does not provide printed or flash disk versions of the Meeting Materials, but instead shareholders may access the Company’s website and the website address information where the AGMS &amp; EGMS agenda materials are available</w:t>
      </w:r>
      <w:r w:rsidR="00000000" w:rsidRPr="00337D6E">
        <w:rPr>
          <w:rFonts w:asciiTheme="minorHAnsi" w:hAnsiTheme="minorHAnsi" w:cstheme="minorHAnsi"/>
          <w:spacing w:val="-2"/>
          <w:sz w:val="24"/>
          <w:szCs w:val="24"/>
        </w:rPr>
        <w:t>.</w:t>
      </w:r>
    </w:p>
    <w:p w14:paraId="4C33CC3E" w14:textId="3D1816A7" w:rsidR="008F5165" w:rsidRPr="00337D6E" w:rsidRDefault="00337D6E">
      <w:pPr>
        <w:pStyle w:val="a6"/>
        <w:numPr>
          <w:ilvl w:val="1"/>
          <w:numId w:val="2"/>
        </w:numPr>
        <w:tabs>
          <w:tab w:val="left" w:pos="1092"/>
        </w:tabs>
        <w:spacing w:before="1"/>
        <w:ind w:right="16"/>
        <w:rPr>
          <w:rFonts w:asciiTheme="minorHAnsi" w:hAnsiTheme="minorHAnsi" w:cstheme="minorHAnsi"/>
          <w:sz w:val="24"/>
          <w:szCs w:val="24"/>
        </w:rPr>
      </w:pPr>
      <w:r w:rsidRPr="00337D6E">
        <w:rPr>
          <w:rFonts w:asciiTheme="minorHAnsi" w:hAnsiTheme="minorHAnsi" w:cstheme="minorHAnsi"/>
          <w:sz w:val="24"/>
          <w:szCs w:val="24"/>
        </w:rPr>
        <w:t>The Company shall re-announce if there are any changes and/or additional information regarding the procedures for the implementation of the AGMS &amp; EGMS</w:t>
      </w:r>
      <w:r w:rsidR="00000000" w:rsidRPr="00337D6E">
        <w:rPr>
          <w:rFonts w:asciiTheme="minorHAnsi" w:hAnsiTheme="minorHAnsi" w:cstheme="minorHAnsi"/>
          <w:sz w:val="24"/>
          <w:szCs w:val="24"/>
        </w:rPr>
        <w:t>.</w:t>
      </w:r>
    </w:p>
    <w:p w14:paraId="574A76C7" w14:textId="77777777" w:rsidR="008F5165" w:rsidRPr="00337D6E" w:rsidRDefault="008F5165">
      <w:pPr>
        <w:pStyle w:val="a3"/>
        <w:rPr>
          <w:rFonts w:asciiTheme="minorHAnsi" w:hAnsiTheme="minorHAnsi" w:cstheme="minorHAnsi"/>
        </w:rPr>
      </w:pPr>
    </w:p>
    <w:p w14:paraId="43B90000" w14:textId="77777777" w:rsidR="008F5165" w:rsidRPr="00337D6E" w:rsidRDefault="008F5165">
      <w:pPr>
        <w:pStyle w:val="a3"/>
        <w:rPr>
          <w:rFonts w:asciiTheme="minorHAnsi" w:hAnsiTheme="minorHAnsi" w:cstheme="minorHAnsi"/>
        </w:rPr>
      </w:pPr>
    </w:p>
    <w:p w14:paraId="566026BF" w14:textId="30242F9D" w:rsidR="008F5165" w:rsidRPr="00337D6E" w:rsidRDefault="00000000">
      <w:pPr>
        <w:ind w:left="7213" w:right="975"/>
        <w:rPr>
          <w:rFonts w:asciiTheme="minorHAnsi" w:eastAsiaTheme="minorEastAsia" w:hAnsiTheme="minorHAnsi" w:cstheme="minorHAnsi" w:hint="eastAsia"/>
          <w:b/>
          <w:sz w:val="24"/>
          <w:szCs w:val="24"/>
          <w:lang w:eastAsia="zh-CN"/>
        </w:rPr>
      </w:pPr>
      <w:r w:rsidRPr="00337D6E">
        <w:rPr>
          <w:rFonts w:asciiTheme="minorHAnsi" w:hAnsiTheme="minorHAnsi" w:cstheme="minorHAnsi"/>
          <w:b/>
          <w:sz w:val="24"/>
          <w:szCs w:val="24"/>
        </w:rPr>
        <w:t>Jakarta, 0</w:t>
      </w:r>
      <w:r w:rsidRPr="00337D6E">
        <w:rPr>
          <w:rFonts w:asciiTheme="minorHAnsi" w:hAnsiTheme="minorHAnsi" w:cstheme="minorHAnsi"/>
          <w:b/>
          <w:sz w:val="24"/>
          <w:szCs w:val="24"/>
          <w:lang w:val="en-US"/>
        </w:rPr>
        <w:t>8</w:t>
      </w:r>
      <w:r w:rsidRPr="00337D6E">
        <w:rPr>
          <w:rFonts w:asciiTheme="minorHAnsi" w:hAnsiTheme="minorHAnsi" w:cstheme="minorHAnsi"/>
          <w:b/>
          <w:sz w:val="24"/>
          <w:szCs w:val="24"/>
        </w:rPr>
        <w:t xml:space="preserve"> Jun</w:t>
      </w:r>
      <w:r w:rsidR="00337D6E">
        <w:rPr>
          <w:rFonts w:asciiTheme="minorHAnsi" w:eastAsiaTheme="minorEastAsia" w:hAnsiTheme="minorHAnsi" w:cstheme="minorHAnsi" w:hint="eastAsia"/>
          <w:b/>
          <w:sz w:val="24"/>
          <w:szCs w:val="24"/>
          <w:lang w:eastAsia="zh-CN"/>
        </w:rPr>
        <w:t>E</w:t>
      </w:r>
      <w:r w:rsidRPr="00337D6E">
        <w:rPr>
          <w:rFonts w:asciiTheme="minorHAnsi" w:hAnsiTheme="minorHAnsi" w:cstheme="minorHAnsi"/>
          <w:b/>
          <w:sz w:val="24"/>
          <w:szCs w:val="24"/>
        </w:rPr>
        <w:t xml:space="preserve"> 202</w:t>
      </w:r>
      <w:r w:rsidRPr="00337D6E">
        <w:rPr>
          <w:rFonts w:asciiTheme="minorHAnsi" w:hAnsiTheme="minorHAnsi" w:cstheme="minorHAnsi"/>
          <w:b/>
          <w:sz w:val="24"/>
          <w:szCs w:val="24"/>
          <w:lang w:val="en-US"/>
        </w:rPr>
        <w:t>6</w:t>
      </w:r>
      <w:r w:rsidRPr="00337D6E">
        <w:rPr>
          <w:rFonts w:asciiTheme="minorHAnsi" w:hAnsiTheme="minorHAnsi" w:cstheme="minorHAnsi"/>
          <w:b/>
          <w:sz w:val="24"/>
          <w:szCs w:val="24"/>
        </w:rPr>
        <w:t xml:space="preserve"> PT</w:t>
      </w:r>
      <w:r w:rsidRPr="00337D6E">
        <w:rPr>
          <w:rFonts w:asciiTheme="minorHAnsi" w:hAnsiTheme="minorHAnsi" w:cstheme="minorHAnsi"/>
          <w:b/>
          <w:spacing w:val="-11"/>
          <w:sz w:val="24"/>
          <w:szCs w:val="24"/>
        </w:rPr>
        <w:t xml:space="preserve"> </w:t>
      </w:r>
      <w:r w:rsidRPr="00337D6E">
        <w:rPr>
          <w:rFonts w:asciiTheme="minorHAnsi" w:hAnsiTheme="minorHAnsi" w:cstheme="minorHAnsi"/>
          <w:b/>
          <w:sz w:val="24"/>
          <w:szCs w:val="24"/>
        </w:rPr>
        <w:t>Perma</w:t>
      </w:r>
      <w:r w:rsidRPr="00337D6E">
        <w:rPr>
          <w:rFonts w:asciiTheme="minorHAnsi" w:hAnsiTheme="minorHAnsi" w:cstheme="minorHAnsi"/>
          <w:b/>
          <w:spacing w:val="-13"/>
          <w:sz w:val="24"/>
          <w:szCs w:val="24"/>
        </w:rPr>
        <w:t xml:space="preserve"> </w:t>
      </w:r>
      <w:r w:rsidRPr="00337D6E">
        <w:rPr>
          <w:rFonts w:asciiTheme="minorHAnsi" w:hAnsiTheme="minorHAnsi" w:cstheme="minorHAnsi"/>
          <w:b/>
          <w:sz w:val="24"/>
          <w:szCs w:val="24"/>
        </w:rPr>
        <w:t>Plasindo</w:t>
      </w:r>
      <w:r w:rsidRPr="00337D6E">
        <w:rPr>
          <w:rFonts w:asciiTheme="minorHAnsi" w:hAnsiTheme="minorHAnsi" w:cstheme="minorHAnsi"/>
          <w:b/>
          <w:spacing w:val="-14"/>
          <w:sz w:val="24"/>
          <w:szCs w:val="24"/>
        </w:rPr>
        <w:t xml:space="preserve"> </w:t>
      </w:r>
      <w:r w:rsidRPr="00337D6E">
        <w:rPr>
          <w:rFonts w:asciiTheme="minorHAnsi" w:hAnsiTheme="minorHAnsi" w:cstheme="minorHAnsi"/>
          <w:b/>
          <w:sz w:val="24"/>
          <w:szCs w:val="24"/>
        </w:rPr>
        <w:t xml:space="preserve">Tbk </w:t>
      </w:r>
      <w:r w:rsidRPr="00337D6E">
        <w:rPr>
          <w:rFonts w:asciiTheme="minorHAnsi" w:hAnsiTheme="minorHAnsi" w:cstheme="minorHAnsi"/>
          <w:b/>
          <w:spacing w:val="-2"/>
          <w:sz w:val="24"/>
          <w:szCs w:val="24"/>
        </w:rPr>
        <w:t>Dir</w:t>
      </w:r>
      <w:r w:rsidR="00337D6E">
        <w:rPr>
          <w:rFonts w:asciiTheme="minorHAnsi" w:eastAsiaTheme="minorEastAsia" w:hAnsiTheme="minorHAnsi" w:cstheme="minorHAnsi" w:hint="eastAsia"/>
          <w:b/>
          <w:spacing w:val="-2"/>
          <w:sz w:val="24"/>
          <w:szCs w:val="24"/>
          <w:lang w:eastAsia="zh-CN"/>
        </w:rPr>
        <w:t>ectors</w:t>
      </w:r>
    </w:p>
    <w:sectPr w:rsidR="008F5165" w:rsidRPr="00337D6E">
      <w:pgSz w:w="11900" w:h="16850"/>
      <w:pgMar w:top="194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CAF7" w14:textId="77777777" w:rsidR="00CC54D8" w:rsidRDefault="00CC54D8" w:rsidP="00337D6E">
      <w:r>
        <w:separator/>
      </w:r>
    </w:p>
  </w:endnote>
  <w:endnote w:type="continuationSeparator" w:id="0">
    <w:p w14:paraId="3EE66D63" w14:textId="77777777" w:rsidR="00CC54D8" w:rsidRDefault="00CC54D8" w:rsidP="0033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7D9E" w14:textId="77777777" w:rsidR="00CC54D8" w:rsidRDefault="00CC54D8" w:rsidP="00337D6E">
      <w:r>
        <w:separator/>
      </w:r>
    </w:p>
  </w:footnote>
  <w:footnote w:type="continuationSeparator" w:id="0">
    <w:p w14:paraId="5FA2BF1F" w14:textId="77777777" w:rsidR="00CC54D8" w:rsidRDefault="00CC54D8" w:rsidP="00337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720" w:hanging="281"/>
      </w:pPr>
      <w:rPr>
        <w:rFonts w:ascii="Calibri" w:eastAsia="Calibri" w:hAnsi="Calibri" w:cs="Calibri" w:hint="default"/>
        <w:b w:val="0"/>
        <w:bCs w:val="0"/>
        <w:i w:val="0"/>
        <w:iCs w:val="0"/>
        <w:spacing w:val="0"/>
        <w:w w:val="100"/>
        <w:sz w:val="24"/>
        <w:szCs w:val="24"/>
        <w:lang w:val="id" w:eastAsia="en-US" w:bidi="ar-SA"/>
      </w:rPr>
    </w:lvl>
    <w:lvl w:ilvl="1">
      <w:start w:val="1"/>
      <w:numFmt w:val="decimal"/>
      <w:lvlText w:val="%2."/>
      <w:lvlJc w:val="left"/>
      <w:pPr>
        <w:ind w:left="1092" w:hanging="360"/>
      </w:pPr>
      <w:rPr>
        <w:rFonts w:ascii="Calibri" w:eastAsia="Calibri" w:hAnsi="Calibri" w:cs="Calibri" w:hint="default"/>
        <w:b w:val="0"/>
        <w:bCs w:val="0"/>
        <w:i w:val="0"/>
        <w:iCs w:val="0"/>
        <w:spacing w:val="0"/>
        <w:w w:val="100"/>
        <w:sz w:val="24"/>
        <w:szCs w:val="24"/>
        <w:lang w:val="id" w:eastAsia="en-US" w:bidi="ar-SA"/>
      </w:rPr>
    </w:lvl>
    <w:lvl w:ilvl="2">
      <w:start w:val="1"/>
      <w:numFmt w:val="lowerRoman"/>
      <w:lvlText w:val="%3."/>
      <w:lvlJc w:val="left"/>
      <w:pPr>
        <w:ind w:left="1812" w:hanging="720"/>
      </w:pPr>
      <w:rPr>
        <w:rFonts w:ascii="Calibri" w:eastAsia="Calibri" w:hAnsi="Calibri" w:cs="Calibri" w:hint="default"/>
        <w:b w:val="0"/>
        <w:bCs w:val="0"/>
        <w:i w:val="0"/>
        <w:iCs w:val="0"/>
        <w:spacing w:val="-1"/>
        <w:w w:val="100"/>
        <w:sz w:val="24"/>
        <w:szCs w:val="24"/>
        <w:lang w:val="id" w:eastAsia="en-US" w:bidi="ar-SA"/>
      </w:rPr>
    </w:lvl>
    <w:lvl w:ilvl="3">
      <w:start w:val="1"/>
      <w:numFmt w:val="lowerLetter"/>
      <w:lvlText w:val="%4."/>
      <w:lvlJc w:val="left"/>
      <w:pPr>
        <w:ind w:left="2172" w:hanging="360"/>
      </w:pPr>
      <w:rPr>
        <w:rFonts w:ascii="Calibri" w:eastAsia="Calibri" w:hAnsi="Calibri" w:cs="Calibri" w:hint="default"/>
        <w:b w:val="0"/>
        <w:bCs w:val="0"/>
        <w:i w:val="0"/>
        <w:iCs w:val="0"/>
        <w:spacing w:val="0"/>
        <w:w w:val="100"/>
        <w:sz w:val="24"/>
        <w:szCs w:val="24"/>
        <w:lang w:val="id" w:eastAsia="en-US" w:bidi="ar-SA"/>
      </w:rPr>
    </w:lvl>
    <w:lvl w:ilvl="4">
      <w:numFmt w:val="bullet"/>
      <w:lvlText w:val="•"/>
      <w:lvlJc w:val="left"/>
      <w:pPr>
        <w:ind w:left="3366" w:hanging="360"/>
      </w:pPr>
      <w:rPr>
        <w:rFonts w:hint="default"/>
        <w:lang w:val="id" w:eastAsia="en-US" w:bidi="ar-SA"/>
      </w:rPr>
    </w:lvl>
    <w:lvl w:ilvl="5">
      <w:numFmt w:val="bullet"/>
      <w:lvlText w:val="•"/>
      <w:lvlJc w:val="left"/>
      <w:pPr>
        <w:ind w:left="4552" w:hanging="360"/>
      </w:pPr>
      <w:rPr>
        <w:rFonts w:hint="default"/>
        <w:lang w:val="id" w:eastAsia="en-US" w:bidi="ar-SA"/>
      </w:rPr>
    </w:lvl>
    <w:lvl w:ilvl="6">
      <w:numFmt w:val="bullet"/>
      <w:lvlText w:val="•"/>
      <w:lvlJc w:val="left"/>
      <w:pPr>
        <w:ind w:left="5738" w:hanging="360"/>
      </w:pPr>
      <w:rPr>
        <w:rFonts w:hint="default"/>
        <w:lang w:val="id" w:eastAsia="en-US" w:bidi="ar-SA"/>
      </w:rPr>
    </w:lvl>
    <w:lvl w:ilvl="7">
      <w:numFmt w:val="bullet"/>
      <w:lvlText w:val="•"/>
      <w:lvlJc w:val="left"/>
      <w:pPr>
        <w:ind w:left="6924" w:hanging="360"/>
      </w:pPr>
      <w:rPr>
        <w:rFonts w:hint="default"/>
        <w:lang w:val="id" w:eastAsia="en-US" w:bidi="ar-SA"/>
      </w:rPr>
    </w:lvl>
    <w:lvl w:ilvl="8">
      <w:numFmt w:val="bullet"/>
      <w:lvlText w:val="•"/>
      <w:lvlJc w:val="left"/>
      <w:pPr>
        <w:ind w:left="8110" w:hanging="360"/>
      </w:pPr>
      <w:rPr>
        <w:rFonts w:hint="default"/>
        <w:lang w:val="id" w:eastAsia="en-US" w:bidi="ar-SA"/>
      </w:rPr>
    </w:lvl>
  </w:abstractNum>
  <w:abstractNum w:abstractNumId="1" w15:restartNumberingAfterBreak="0">
    <w:nsid w:val="0053208E"/>
    <w:multiLevelType w:val="multilevel"/>
    <w:tmpl w:val="0053208E"/>
    <w:lvl w:ilvl="0">
      <w:start w:val="1"/>
      <w:numFmt w:val="decimal"/>
      <w:lvlText w:val="%1."/>
      <w:lvlJc w:val="left"/>
      <w:pPr>
        <w:ind w:left="732" w:hanging="361"/>
      </w:pPr>
      <w:rPr>
        <w:rFonts w:ascii="Calibri" w:eastAsia="Calibri" w:hAnsi="Calibri" w:cs="Calibri" w:hint="default"/>
        <w:b w:val="0"/>
        <w:bCs w:val="0"/>
        <w:i w:val="0"/>
        <w:iCs w:val="0"/>
        <w:spacing w:val="0"/>
        <w:w w:val="100"/>
        <w:sz w:val="24"/>
        <w:szCs w:val="24"/>
        <w:lang w:val="id" w:eastAsia="en-US" w:bidi="ar-SA"/>
      </w:rPr>
    </w:lvl>
    <w:lvl w:ilvl="1">
      <w:numFmt w:val="bullet"/>
      <w:lvlText w:val="•"/>
      <w:lvlJc w:val="left"/>
      <w:pPr>
        <w:ind w:left="1714" w:hanging="361"/>
      </w:pPr>
      <w:rPr>
        <w:rFonts w:hint="default"/>
        <w:lang w:val="id" w:eastAsia="en-US" w:bidi="ar-SA"/>
      </w:rPr>
    </w:lvl>
    <w:lvl w:ilvl="2">
      <w:numFmt w:val="bullet"/>
      <w:lvlText w:val="•"/>
      <w:lvlJc w:val="left"/>
      <w:pPr>
        <w:ind w:left="2688" w:hanging="361"/>
      </w:pPr>
      <w:rPr>
        <w:rFonts w:hint="default"/>
        <w:lang w:val="id" w:eastAsia="en-US" w:bidi="ar-SA"/>
      </w:rPr>
    </w:lvl>
    <w:lvl w:ilvl="3">
      <w:numFmt w:val="bullet"/>
      <w:lvlText w:val="•"/>
      <w:lvlJc w:val="left"/>
      <w:pPr>
        <w:ind w:left="3662" w:hanging="361"/>
      </w:pPr>
      <w:rPr>
        <w:rFonts w:hint="default"/>
        <w:lang w:val="id" w:eastAsia="en-US" w:bidi="ar-SA"/>
      </w:rPr>
    </w:lvl>
    <w:lvl w:ilvl="4">
      <w:numFmt w:val="bullet"/>
      <w:lvlText w:val="•"/>
      <w:lvlJc w:val="left"/>
      <w:pPr>
        <w:ind w:left="4637" w:hanging="361"/>
      </w:pPr>
      <w:rPr>
        <w:rFonts w:hint="default"/>
        <w:lang w:val="id" w:eastAsia="en-US" w:bidi="ar-SA"/>
      </w:rPr>
    </w:lvl>
    <w:lvl w:ilvl="5">
      <w:numFmt w:val="bullet"/>
      <w:lvlText w:val="•"/>
      <w:lvlJc w:val="left"/>
      <w:pPr>
        <w:ind w:left="5611" w:hanging="361"/>
      </w:pPr>
      <w:rPr>
        <w:rFonts w:hint="default"/>
        <w:lang w:val="id" w:eastAsia="en-US" w:bidi="ar-SA"/>
      </w:rPr>
    </w:lvl>
    <w:lvl w:ilvl="6">
      <w:numFmt w:val="bullet"/>
      <w:lvlText w:val="•"/>
      <w:lvlJc w:val="left"/>
      <w:pPr>
        <w:ind w:left="6585" w:hanging="361"/>
      </w:pPr>
      <w:rPr>
        <w:rFonts w:hint="default"/>
        <w:lang w:val="id" w:eastAsia="en-US" w:bidi="ar-SA"/>
      </w:rPr>
    </w:lvl>
    <w:lvl w:ilvl="7">
      <w:numFmt w:val="bullet"/>
      <w:lvlText w:val="•"/>
      <w:lvlJc w:val="left"/>
      <w:pPr>
        <w:ind w:left="7560" w:hanging="361"/>
      </w:pPr>
      <w:rPr>
        <w:rFonts w:hint="default"/>
        <w:lang w:val="id" w:eastAsia="en-US" w:bidi="ar-SA"/>
      </w:rPr>
    </w:lvl>
    <w:lvl w:ilvl="8">
      <w:numFmt w:val="bullet"/>
      <w:lvlText w:val="•"/>
      <w:lvlJc w:val="left"/>
      <w:pPr>
        <w:ind w:left="8534" w:hanging="361"/>
      </w:pPr>
      <w:rPr>
        <w:rFonts w:hint="default"/>
        <w:lang w:val="id" w:eastAsia="en-US" w:bidi="ar-SA"/>
      </w:rPr>
    </w:lvl>
  </w:abstractNum>
  <w:abstractNum w:abstractNumId="2" w15:restartNumberingAfterBreak="0">
    <w:nsid w:val="082B12FB"/>
    <w:multiLevelType w:val="multilevel"/>
    <w:tmpl w:val="98487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751C8"/>
    <w:multiLevelType w:val="hybridMultilevel"/>
    <w:tmpl w:val="505C6362"/>
    <w:lvl w:ilvl="0" w:tplc="6860AFA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93E31"/>
    <w:multiLevelType w:val="multilevel"/>
    <w:tmpl w:val="38AA3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1289A"/>
    <w:multiLevelType w:val="multilevel"/>
    <w:tmpl w:val="B5249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541EA"/>
    <w:multiLevelType w:val="multilevel"/>
    <w:tmpl w:val="FE966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40085"/>
    <w:multiLevelType w:val="multilevel"/>
    <w:tmpl w:val="40AC9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050924">
    <w:abstractNumId w:val="1"/>
  </w:num>
  <w:num w:numId="2" w16cid:durableId="685400607">
    <w:abstractNumId w:val="0"/>
  </w:num>
  <w:num w:numId="3" w16cid:durableId="1371111302">
    <w:abstractNumId w:val="2"/>
  </w:num>
  <w:num w:numId="4" w16cid:durableId="1523323773">
    <w:abstractNumId w:val="5"/>
  </w:num>
  <w:num w:numId="5" w16cid:durableId="654990831">
    <w:abstractNumId w:val="6"/>
  </w:num>
  <w:num w:numId="6" w16cid:durableId="1492797717">
    <w:abstractNumId w:val="4"/>
  </w:num>
  <w:num w:numId="7" w16cid:durableId="1824084659">
    <w:abstractNumId w:val="7"/>
  </w:num>
  <w:num w:numId="8" w16cid:durableId="14294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D8"/>
    <w:rsid w:val="000B5D5D"/>
    <w:rsid w:val="00337D6E"/>
    <w:rsid w:val="00352A4A"/>
    <w:rsid w:val="0046551A"/>
    <w:rsid w:val="005A3823"/>
    <w:rsid w:val="00612858"/>
    <w:rsid w:val="0067689B"/>
    <w:rsid w:val="006B2F25"/>
    <w:rsid w:val="008F5165"/>
    <w:rsid w:val="00B212D8"/>
    <w:rsid w:val="00C0483B"/>
    <w:rsid w:val="00CC54D8"/>
    <w:rsid w:val="023470AD"/>
    <w:rsid w:val="319C18F5"/>
    <w:rsid w:val="333B009C"/>
    <w:rsid w:val="3E461D00"/>
    <w:rsid w:val="4AED1DFC"/>
    <w:rsid w:val="60685BC3"/>
    <w:rsid w:val="738D5C47"/>
    <w:rsid w:val="7485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989E"/>
  <w15:docId w15:val="{F52D448B-40D6-4428-9607-52C2AA79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eastAsia="Calibri"/>
      <w:sz w:val="22"/>
      <w:szCs w:val="22"/>
      <w:lang w:val="id" w:eastAsia="en-US"/>
    </w:rPr>
  </w:style>
  <w:style w:type="paragraph" w:styleId="1">
    <w:name w:val="heading 1"/>
    <w:basedOn w:val="a"/>
    <w:uiPriority w:val="1"/>
    <w:qFormat/>
    <w:pPr>
      <w:ind w:left="1918" w:right="975"/>
      <w:jc w:val="center"/>
      <w:outlineLvl w:val="0"/>
    </w:pPr>
    <w:rPr>
      <w:b/>
      <w:bCs/>
      <w:sz w:val="24"/>
      <w:szCs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character" w:styleId="a4">
    <w:name w:val="Hyperlink"/>
    <w:basedOn w:val="a0"/>
    <w:qFormat/>
    <w:rPr>
      <w:color w:val="0000FF"/>
      <w:u w:val="single"/>
    </w:rPr>
  </w:style>
  <w:style w:type="paragraph" w:styleId="a5">
    <w:name w:val="Normal (Web)"/>
    <w:basedOn w:val="a"/>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092" w:right="5" w:hanging="360"/>
      <w:jc w:val="both"/>
    </w:pPr>
  </w:style>
  <w:style w:type="paragraph" w:customStyle="1" w:styleId="TableParagraph">
    <w:name w:val="Table Paragraph"/>
    <w:basedOn w:val="a"/>
    <w:uiPriority w:val="1"/>
    <w:qFormat/>
  </w:style>
  <w:style w:type="character" w:customStyle="1" w:styleId="10">
    <w:name w:val="标题 1 字符"/>
    <w:qFormat/>
    <w:rPr>
      <w:rFonts w:ascii="Calibri" w:eastAsia="Calibri" w:hAnsi="Calibri" w:cs="Calibri" w:hint="default"/>
      <w:b/>
      <w:bCs/>
      <w:sz w:val="24"/>
      <w:szCs w:val="24"/>
      <w:u w:val="single" w:color="000000"/>
    </w:rPr>
  </w:style>
  <w:style w:type="character" w:customStyle="1" w:styleId="a7">
    <w:name w:val="正文文本 字符"/>
    <w:qFormat/>
    <w:rPr>
      <w:rFonts w:ascii="Calibri" w:eastAsia="Calibri" w:hAnsi="Calibri" w:cs="Calibri" w:hint="default"/>
      <w:sz w:val="24"/>
      <w:szCs w:val="24"/>
    </w:rPr>
  </w:style>
  <w:style w:type="table" w:customStyle="1" w:styleId="11">
    <w:name w:val="普通表格1"/>
    <w:semiHidden/>
    <w:qFormat/>
    <w:pPr>
      <w:widowControl w:val="0"/>
      <w:autoSpaceDE w:val="0"/>
      <w:autoSpaceDN w:val="0"/>
    </w:pPr>
    <w:rPr>
      <w:rFonts w:cs="Times New Roman"/>
      <w:sz w:val="22"/>
      <w:szCs w:val="22"/>
    </w:rPr>
    <w:tblPr>
      <w:tblCellMar>
        <w:top w:w="0" w:type="dxa"/>
        <w:left w:w="108" w:type="dxa"/>
        <w:bottom w:w="0" w:type="dxa"/>
        <w:right w:w="108" w:type="dxa"/>
      </w:tblCellMar>
    </w:tblPr>
  </w:style>
  <w:style w:type="paragraph" w:styleId="a8">
    <w:name w:val="header"/>
    <w:basedOn w:val="a"/>
    <w:link w:val="a9"/>
    <w:rsid w:val="00337D6E"/>
    <w:pPr>
      <w:tabs>
        <w:tab w:val="center" w:pos="4680"/>
        <w:tab w:val="right" w:pos="9360"/>
      </w:tabs>
    </w:pPr>
  </w:style>
  <w:style w:type="character" w:customStyle="1" w:styleId="a9">
    <w:name w:val="页眉 字符"/>
    <w:basedOn w:val="a0"/>
    <w:link w:val="a8"/>
    <w:rsid w:val="00337D6E"/>
    <w:rPr>
      <w:rFonts w:eastAsia="Calibri"/>
      <w:sz w:val="22"/>
      <w:szCs w:val="22"/>
      <w:lang w:val="id" w:eastAsia="en-US"/>
    </w:rPr>
  </w:style>
  <w:style w:type="paragraph" w:styleId="aa">
    <w:name w:val="footer"/>
    <w:basedOn w:val="a"/>
    <w:link w:val="ab"/>
    <w:rsid w:val="00337D6E"/>
    <w:pPr>
      <w:tabs>
        <w:tab w:val="center" w:pos="4680"/>
        <w:tab w:val="right" w:pos="9360"/>
      </w:tabs>
    </w:pPr>
  </w:style>
  <w:style w:type="character" w:customStyle="1" w:styleId="ab">
    <w:name w:val="页脚 字符"/>
    <w:basedOn w:val="a0"/>
    <w:link w:val="aa"/>
    <w:rsid w:val="00337D6E"/>
    <w:rPr>
      <w:rFonts w:eastAsia="Calibri"/>
      <w:sz w:val="22"/>
      <w:szCs w:val="22"/>
      <w:lang w:val="id" w:eastAsia="en-US"/>
    </w:rPr>
  </w:style>
  <w:style w:type="character" w:styleId="ac">
    <w:name w:val="Unresolved Mention"/>
    <w:basedOn w:val="a0"/>
    <w:uiPriority w:val="99"/>
    <w:semiHidden/>
    <w:unhideWhenUsed/>
    <w:rsid w:val="0033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rmaplasindo.co.id" TargetMode="External"/><Relationship Id="rId3" Type="http://schemas.openxmlformats.org/officeDocument/2006/relationships/settings" Target="settings.xml"/><Relationship Id="rId7" Type="http://schemas.openxmlformats.org/officeDocument/2006/relationships/hyperlink" Target="https://akses.ksei.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maplasind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1278</Words>
  <Characters>7286</Characters>
  <Application>Microsoft Office Word</Application>
  <DocSecurity>0</DocSecurity>
  <Lines>60</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 Arviyanto</dc:creator>
  <cp:lastModifiedBy>Administrator</cp:lastModifiedBy>
  <cp:revision>3</cp:revision>
  <dcterms:created xsi:type="dcterms:W3CDTF">2026-06-05T10:38:00Z</dcterms:created>
  <dcterms:modified xsi:type="dcterms:W3CDTF">2026-06-08T06:35:00Z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2025-06-04T00:00:00Z</vt:filetime>
  </property>
  <property fmtid="{D5CDD505-2E9C-101B-9397-08002B2CF9AE}" pid="4" name="Creator">
    <vt:lpwstr>Microsoft® Word 2021</vt:lpwstr>
  </property>
  <property fmtid="{D5CDD505-2E9C-101B-9397-08002B2CF9AE}" pid="5" name="LastSaved">
    <vt:filetime>2026-06-05T00:00:00Z</vt:filetime>
  </property>
  <property fmtid="{D5CDD505-2E9C-101B-9397-08002B2CF9AE}" pid="6" name="Producer">
    <vt:lpwstr>Microsoft® Word 2021</vt:lpwstr>
  </property>
  <property fmtid="{D5CDD505-2E9C-101B-9397-08002B2CF9AE}" pid="7" name="KSOTemplateDocerSaveRecord">
    <vt:lpwstr>eyJoZGlkIjoiZDZmZjA3ODc1ZTg3NzQ3OGYzY2I3MzVlNjdiODgyN2IiLCJ1c2VySWQiOiI4ODEzNDE1NjgxNjEzIn0=</vt:lpwstr>
  </property>
  <property fmtid="{D5CDD505-2E9C-101B-9397-08002B2CF9AE}" pid="8" name="KSOProductBuildVer">
    <vt:lpwstr>1033-12.1.0.26880</vt:lpwstr>
  </property>
  <property fmtid="{D5CDD505-2E9C-101B-9397-08002B2CF9AE}" pid="9" name="ICV">
    <vt:lpwstr>A3F780342476440281448507B91240E2_12</vt:lpwstr>
  </property>
</Properties>
</file>